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BC054E" w14:textId="77777777" w:rsidR="00A04859" w:rsidRPr="004518F8" w:rsidRDefault="00A04859" w:rsidP="00A04859">
      <w:pPr>
        <w:pStyle w:val="Heading1"/>
        <w:rPr>
          <w:sz w:val="20"/>
          <w:szCs w:val="20"/>
        </w:rPr>
      </w:pPr>
      <w:r w:rsidRPr="004518F8">
        <w:rPr>
          <w:sz w:val="20"/>
          <w:szCs w:val="20"/>
        </w:rPr>
        <w:t xml:space="preserve">Abbreviated Prescribing Information: </w:t>
      </w:r>
    </w:p>
    <w:p w14:paraId="39245089" w14:textId="707FFD5F" w:rsidR="00A04859" w:rsidRPr="004518F8" w:rsidRDefault="00E97977" w:rsidP="00A04859">
      <w:pPr>
        <w:jc w:val="both"/>
        <w:rPr>
          <w:b/>
          <w:bCs/>
          <w:sz w:val="20"/>
          <w:szCs w:val="20"/>
          <w:lang w:val="en-US"/>
        </w:rPr>
      </w:pPr>
      <w:r w:rsidRPr="004518F8">
        <w:rPr>
          <w:b/>
          <w:bCs/>
          <w:iCs/>
          <w:sz w:val="20"/>
          <w:szCs w:val="20"/>
          <w:lang w:val="en-US"/>
        </w:rPr>
        <w:t>QUVIVIQ</w:t>
      </w:r>
      <w:r w:rsidR="00A04859" w:rsidRPr="004518F8">
        <w:rPr>
          <w:b/>
          <w:bCs/>
          <w:sz w:val="20"/>
          <w:szCs w:val="20"/>
          <w:vertAlign w:val="superscript"/>
          <w:lang w:val="en-US"/>
        </w:rPr>
        <w:t>®</w:t>
      </w:r>
      <w:r w:rsidR="00A04859" w:rsidRPr="004518F8">
        <w:rPr>
          <w:b/>
          <w:bCs/>
          <w:sz w:val="20"/>
          <w:szCs w:val="20"/>
          <w:lang w:val="en-US"/>
        </w:rPr>
        <w:t xml:space="preserve"> (</w:t>
      </w:r>
      <w:r w:rsidRPr="004518F8">
        <w:rPr>
          <w:b/>
          <w:bCs/>
          <w:sz w:val="20"/>
          <w:szCs w:val="20"/>
          <w:lang w:val="en-US"/>
        </w:rPr>
        <w:t>daridorexant</w:t>
      </w:r>
      <w:r w:rsidR="00A04859" w:rsidRPr="004518F8">
        <w:rPr>
          <w:b/>
          <w:bCs/>
          <w:sz w:val="20"/>
          <w:szCs w:val="20"/>
          <w:lang w:val="en-US"/>
        </w:rPr>
        <w:t xml:space="preserve">) </w:t>
      </w:r>
    </w:p>
    <w:p w14:paraId="41327162" w14:textId="037D85C4" w:rsidR="00A04859" w:rsidRPr="004518F8" w:rsidRDefault="00A04859" w:rsidP="005747AF">
      <w:pPr>
        <w:jc w:val="both"/>
        <w:rPr>
          <w:i/>
          <w:sz w:val="20"/>
          <w:szCs w:val="20"/>
        </w:rPr>
      </w:pPr>
      <w:r w:rsidRPr="004518F8">
        <w:rPr>
          <w:noProof/>
          <w:sz w:val="20"/>
          <w:szCs w:val="20"/>
          <w:lang w:val="en-US"/>
        </w:rPr>
        <w:drawing>
          <wp:inline distT="0" distB="0" distL="0" distR="0" wp14:anchorId="66EA87F2" wp14:editId="4706A559">
            <wp:extent cx="145535" cy="124358"/>
            <wp:effectExtent l="0" t="0" r="6985" b="9525"/>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504" cy="125186"/>
                    </a:xfrm>
                    <a:prstGeom prst="rect">
                      <a:avLst/>
                    </a:prstGeom>
                    <a:noFill/>
                    <a:ln>
                      <a:noFill/>
                    </a:ln>
                  </pic:spPr>
                </pic:pic>
              </a:graphicData>
            </a:graphic>
          </wp:inline>
        </w:drawing>
      </w:r>
      <w:r w:rsidRPr="004518F8">
        <w:rPr>
          <w:sz w:val="20"/>
          <w:szCs w:val="20"/>
        </w:rPr>
        <w:t xml:space="preserve">This medicinal product is subject to additional monitoring. This will allow quick identification of new safety information. Healthcare professionals are asked to report any suspected adverse reactions. See section 4.8 of the Summary of Product Characteristics for how to report adverse reactions. </w:t>
      </w:r>
    </w:p>
    <w:p w14:paraId="47349FBB" w14:textId="77777777" w:rsidR="00A04859" w:rsidRPr="004518F8" w:rsidRDefault="00A04859" w:rsidP="005747AF">
      <w:pPr>
        <w:jc w:val="both"/>
        <w:rPr>
          <w:sz w:val="20"/>
          <w:szCs w:val="20"/>
        </w:rPr>
      </w:pPr>
    </w:p>
    <w:p w14:paraId="48E0AEB0" w14:textId="77777777" w:rsidR="00A04859" w:rsidRPr="004518F8" w:rsidRDefault="00A04859" w:rsidP="005747AF">
      <w:pPr>
        <w:jc w:val="both"/>
        <w:rPr>
          <w:b/>
          <w:bCs/>
          <w:color w:val="333399"/>
          <w:sz w:val="20"/>
          <w:szCs w:val="20"/>
          <w:lang w:val="en-US"/>
        </w:rPr>
      </w:pPr>
      <w:r w:rsidRPr="004518F8">
        <w:rPr>
          <w:sz w:val="20"/>
          <w:szCs w:val="20"/>
          <w:u w:val="single"/>
        </w:rPr>
        <w:t>Important note</w:t>
      </w:r>
      <w:r w:rsidRPr="004518F8">
        <w:rPr>
          <w:sz w:val="20"/>
          <w:szCs w:val="20"/>
        </w:rPr>
        <w:t>: Before prescribing, consult the full SmPC.</w:t>
      </w:r>
    </w:p>
    <w:p w14:paraId="6E9A6309" w14:textId="77777777" w:rsidR="00A04859" w:rsidRPr="004518F8" w:rsidRDefault="00A04859" w:rsidP="005747AF">
      <w:pPr>
        <w:jc w:val="both"/>
        <w:rPr>
          <w:sz w:val="20"/>
          <w:szCs w:val="20"/>
        </w:rPr>
      </w:pPr>
    </w:p>
    <w:p w14:paraId="33D64CF4" w14:textId="77777777" w:rsidR="00A04859" w:rsidRPr="004518F8" w:rsidRDefault="00A04859" w:rsidP="005747AF">
      <w:pPr>
        <w:pStyle w:val="Heading1"/>
        <w:jc w:val="both"/>
        <w:rPr>
          <w:sz w:val="20"/>
          <w:szCs w:val="20"/>
        </w:rPr>
      </w:pPr>
      <w:r w:rsidRPr="004518F8">
        <w:rPr>
          <w:sz w:val="20"/>
          <w:szCs w:val="20"/>
        </w:rPr>
        <w:t>Presentation</w:t>
      </w:r>
    </w:p>
    <w:p w14:paraId="3F52E9B5" w14:textId="64C8F46C" w:rsidR="00A04859" w:rsidRPr="004518F8" w:rsidRDefault="00FE06A4" w:rsidP="005747AF">
      <w:pPr>
        <w:jc w:val="both"/>
        <w:rPr>
          <w:sz w:val="20"/>
          <w:szCs w:val="20"/>
        </w:rPr>
      </w:pPr>
      <w:r w:rsidRPr="004518F8">
        <w:rPr>
          <w:sz w:val="20"/>
          <w:szCs w:val="20"/>
        </w:rPr>
        <w:t>Daridorexant 25 mg and 50 mg film-coated tablets</w:t>
      </w:r>
    </w:p>
    <w:p w14:paraId="6ADCA004" w14:textId="3CCBE24D" w:rsidR="00A04859" w:rsidRPr="004518F8" w:rsidRDefault="00A04859" w:rsidP="005747AF">
      <w:pPr>
        <w:jc w:val="both"/>
        <w:rPr>
          <w:sz w:val="20"/>
          <w:szCs w:val="20"/>
        </w:rPr>
      </w:pPr>
    </w:p>
    <w:p w14:paraId="2CF39C6F" w14:textId="2131A887" w:rsidR="00A04859" w:rsidRPr="004518F8" w:rsidRDefault="00A04859" w:rsidP="005747AF">
      <w:pPr>
        <w:pStyle w:val="Heading1"/>
        <w:jc w:val="both"/>
        <w:rPr>
          <w:b w:val="0"/>
          <w:bCs w:val="0"/>
          <w:sz w:val="20"/>
          <w:szCs w:val="20"/>
        </w:rPr>
      </w:pPr>
      <w:r w:rsidRPr="004518F8">
        <w:rPr>
          <w:sz w:val="20"/>
          <w:szCs w:val="20"/>
        </w:rPr>
        <w:t>Pharmacotherapeutic group</w:t>
      </w:r>
      <w:r w:rsidR="005A63D0">
        <w:rPr>
          <w:sz w:val="20"/>
          <w:szCs w:val="20"/>
        </w:rPr>
        <w:t xml:space="preserve"> </w:t>
      </w:r>
      <w:r w:rsidR="004518F8">
        <w:rPr>
          <w:sz w:val="20"/>
          <w:szCs w:val="20"/>
        </w:rPr>
        <w:t>/</w:t>
      </w:r>
      <w:r w:rsidR="005A63D0">
        <w:rPr>
          <w:sz w:val="20"/>
          <w:szCs w:val="20"/>
        </w:rPr>
        <w:t xml:space="preserve"> </w:t>
      </w:r>
      <w:r w:rsidR="004518F8">
        <w:rPr>
          <w:sz w:val="20"/>
          <w:szCs w:val="20"/>
        </w:rPr>
        <w:t>ATC code</w:t>
      </w:r>
      <w:r w:rsidR="00445C6A" w:rsidRPr="004518F8">
        <w:rPr>
          <w:sz w:val="20"/>
          <w:szCs w:val="20"/>
        </w:rPr>
        <w:t>:</w:t>
      </w:r>
      <w:r w:rsidR="00445C6A" w:rsidRPr="004518F8">
        <w:rPr>
          <w:b w:val="0"/>
          <w:bCs w:val="0"/>
          <w:sz w:val="20"/>
          <w:szCs w:val="20"/>
        </w:rPr>
        <w:t xml:space="preserve"> </w:t>
      </w:r>
      <w:r w:rsidR="00AA3565" w:rsidRPr="00AA3565">
        <w:rPr>
          <w:b w:val="0"/>
          <w:bCs w:val="0"/>
          <w:sz w:val="20"/>
          <w:szCs w:val="20"/>
        </w:rPr>
        <w:t>Psychol</w:t>
      </w:r>
      <w:r w:rsidR="00AA3565" w:rsidRPr="0090675C">
        <w:rPr>
          <w:b w:val="0"/>
          <w:bCs w:val="0"/>
          <w:sz w:val="20"/>
          <w:szCs w:val="20"/>
        </w:rPr>
        <w:t>eptics, Orexin receptor antagonists</w:t>
      </w:r>
      <w:r w:rsidR="005A63D0">
        <w:rPr>
          <w:b w:val="0"/>
          <w:bCs w:val="0"/>
          <w:sz w:val="20"/>
          <w:szCs w:val="20"/>
        </w:rPr>
        <w:t xml:space="preserve"> /</w:t>
      </w:r>
      <w:r w:rsidR="00AA3565" w:rsidRPr="0090675C">
        <w:rPr>
          <w:b w:val="0"/>
          <w:bCs w:val="0"/>
          <w:sz w:val="20"/>
          <w:szCs w:val="20"/>
        </w:rPr>
        <w:t xml:space="preserve"> </w:t>
      </w:r>
      <w:r w:rsidR="0090675C" w:rsidRPr="0090675C">
        <w:rPr>
          <w:b w:val="0"/>
          <w:bCs w:val="0"/>
          <w:sz w:val="20"/>
          <w:szCs w:val="20"/>
        </w:rPr>
        <w:t>N05CJ03</w:t>
      </w:r>
    </w:p>
    <w:p w14:paraId="6D7756B1" w14:textId="2A0AC49B" w:rsidR="00A04859" w:rsidRPr="004518F8" w:rsidRDefault="00A04859" w:rsidP="005747AF">
      <w:pPr>
        <w:jc w:val="both"/>
        <w:rPr>
          <w:sz w:val="20"/>
          <w:szCs w:val="20"/>
        </w:rPr>
      </w:pPr>
    </w:p>
    <w:p w14:paraId="1645AF27" w14:textId="77777777" w:rsidR="00A04859" w:rsidRPr="004518F8" w:rsidRDefault="00A04859" w:rsidP="005747AF">
      <w:pPr>
        <w:pStyle w:val="Heading1"/>
        <w:jc w:val="both"/>
        <w:rPr>
          <w:sz w:val="20"/>
          <w:szCs w:val="20"/>
        </w:rPr>
      </w:pPr>
      <w:r w:rsidRPr="004518F8">
        <w:rPr>
          <w:sz w:val="20"/>
          <w:szCs w:val="20"/>
        </w:rPr>
        <w:t>Therapeutic indication</w:t>
      </w:r>
    </w:p>
    <w:p w14:paraId="0FA1F94C" w14:textId="77777777" w:rsidR="00914D74" w:rsidRPr="004518F8" w:rsidRDefault="00914D74" w:rsidP="005747AF">
      <w:pPr>
        <w:jc w:val="both"/>
        <w:rPr>
          <w:sz w:val="20"/>
          <w:szCs w:val="20"/>
        </w:rPr>
      </w:pPr>
      <w:bookmarkStart w:id="0" w:name="_Hlk32911047"/>
      <w:r w:rsidRPr="004518F8">
        <w:rPr>
          <w:sz w:val="20"/>
          <w:szCs w:val="20"/>
        </w:rPr>
        <w:t>QUVIVIQ is indicated for the treatment of adult patients with insomnia characterised by symptoms present for at least 3 months and considerable impact on daytime functioning.</w:t>
      </w:r>
    </w:p>
    <w:bookmarkEnd w:id="0"/>
    <w:p w14:paraId="79F9641C" w14:textId="092CB5AE" w:rsidR="00A04859" w:rsidRPr="004518F8" w:rsidRDefault="00A04859" w:rsidP="005747AF">
      <w:pPr>
        <w:jc w:val="both"/>
        <w:rPr>
          <w:sz w:val="20"/>
          <w:szCs w:val="20"/>
        </w:rPr>
      </w:pPr>
    </w:p>
    <w:p w14:paraId="6F827F41" w14:textId="77777777" w:rsidR="00A04859" w:rsidRPr="004518F8" w:rsidRDefault="00A04859" w:rsidP="005747AF">
      <w:pPr>
        <w:pStyle w:val="Heading1"/>
        <w:jc w:val="both"/>
        <w:rPr>
          <w:sz w:val="20"/>
          <w:szCs w:val="20"/>
        </w:rPr>
      </w:pPr>
      <w:r w:rsidRPr="004518F8">
        <w:rPr>
          <w:sz w:val="20"/>
          <w:szCs w:val="20"/>
        </w:rPr>
        <w:t>Posology and method of administration</w:t>
      </w:r>
    </w:p>
    <w:p w14:paraId="5BF6454F" w14:textId="4B8EF7AB" w:rsidR="00A47573" w:rsidRPr="004518F8" w:rsidRDefault="001B35FC" w:rsidP="005747AF">
      <w:pPr>
        <w:jc w:val="both"/>
        <w:rPr>
          <w:sz w:val="20"/>
          <w:szCs w:val="20"/>
        </w:rPr>
      </w:pPr>
      <w:r>
        <w:rPr>
          <w:sz w:val="20"/>
          <w:szCs w:val="20"/>
        </w:rPr>
        <w:t>Recommended dose: o</w:t>
      </w:r>
      <w:r w:rsidR="003F6149" w:rsidRPr="004518F8">
        <w:rPr>
          <w:sz w:val="20"/>
          <w:szCs w:val="20"/>
        </w:rPr>
        <w:t xml:space="preserve">ne tablet of 50 mg once per night, taken orally in the evening within 30 minutes before going to bed. </w:t>
      </w:r>
    </w:p>
    <w:p w14:paraId="1B06CE4E" w14:textId="187E0364" w:rsidR="003F6149" w:rsidRPr="004518F8" w:rsidRDefault="003F6149" w:rsidP="003F6149">
      <w:pPr>
        <w:rPr>
          <w:sz w:val="20"/>
          <w:szCs w:val="20"/>
        </w:rPr>
      </w:pPr>
    </w:p>
    <w:p w14:paraId="66D02CA5" w14:textId="71913EEA" w:rsidR="00A47573" w:rsidRPr="004518F8" w:rsidRDefault="00BC1326" w:rsidP="003F6149">
      <w:pPr>
        <w:rPr>
          <w:sz w:val="20"/>
          <w:szCs w:val="20"/>
        </w:rPr>
      </w:pPr>
      <w:r w:rsidRPr="004518F8">
        <w:rPr>
          <w:sz w:val="20"/>
          <w:szCs w:val="20"/>
        </w:rPr>
        <w:t xml:space="preserve">For </w:t>
      </w:r>
      <w:r w:rsidR="00BF4368">
        <w:rPr>
          <w:sz w:val="20"/>
          <w:szCs w:val="20"/>
        </w:rPr>
        <w:t>patients</w:t>
      </w:r>
      <w:r w:rsidR="00E159EC" w:rsidRPr="004518F8">
        <w:rPr>
          <w:sz w:val="20"/>
          <w:szCs w:val="20"/>
        </w:rPr>
        <w:t xml:space="preserve"> with </w:t>
      </w:r>
      <w:r w:rsidR="001833C7">
        <w:rPr>
          <w:sz w:val="20"/>
          <w:szCs w:val="20"/>
        </w:rPr>
        <w:t xml:space="preserve">moderate </w:t>
      </w:r>
      <w:r w:rsidR="00E159EC" w:rsidRPr="004518F8">
        <w:rPr>
          <w:sz w:val="20"/>
          <w:szCs w:val="20"/>
        </w:rPr>
        <w:t>hepatic impairment, or taking moderate CYP3A4 inhibitors</w:t>
      </w:r>
      <w:r w:rsidRPr="004518F8">
        <w:rPr>
          <w:sz w:val="20"/>
          <w:szCs w:val="20"/>
        </w:rPr>
        <w:t>,</w:t>
      </w:r>
      <w:r w:rsidR="00E159EC" w:rsidRPr="004518F8">
        <w:rPr>
          <w:sz w:val="20"/>
          <w:szCs w:val="20"/>
        </w:rPr>
        <w:t xml:space="preserve"> or CNS depressants</w:t>
      </w:r>
      <w:r w:rsidRPr="004518F8">
        <w:rPr>
          <w:sz w:val="20"/>
          <w:szCs w:val="20"/>
        </w:rPr>
        <w:t xml:space="preserve"> </w:t>
      </w:r>
      <w:r w:rsidR="00BF4368">
        <w:rPr>
          <w:sz w:val="20"/>
          <w:szCs w:val="20"/>
        </w:rPr>
        <w:t>(</w:t>
      </w:r>
      <w:r w:rsidRPr="004518F8">
        <w:rPr>
          <w:sz w:val="20"/>
          <w:szCs w:val="20"/>
        </w:rPr>
        <w:t>based on clinical judgement</w:t>
      </w:r>
      <w:r w:rsidR="00BF4368">
        <w:rPr>
          <w:sz w:val="20"/>
          <w:szCs w:val="20"/>
        </w:rPr>
        <w:t xml:space="preserve">) </w:t>
      </w:r>
      <w:r w:rsidRPr="004518F8">
        <w:rPr>
          <w:sz w:val="20"/>
          <w:szCs w:val="20"/>
        </w:rPr>
        <w:t>the recommended dose is</w:t>
      </w:r>
      <w:r w:rsidR="00E159EC" w:rsidRPr="004518F8">
        <w:rPr>
          <w:sz w:val="20"/>
          <w:szCs w:val="20"/>
        </w:rPr>
        <w:t xml:space="preserve"> 25 mg once per night.</w:t>
      </w:r>
    </w:p>
    <w:p w14:paraId="6C51F075" w14:textId="77777777" w:rsidR="00E159EC" w:rsidRPr="004518F8" w:rsidRDefault="00E159EC" w:rsidP="003F6149">
      <w:pPr>
        <w:rPr>
          <w:sz w:val="20"/>
          <w:szCs w:val="20"/>
        </w:rPr>
      </w:pPr>
    </w:p>
    <w:p w14:paraId="4626A6A3" w14:textId="25B74019" w:rsidR="0031429C" w:rsidRPr="004518F8" w:rsidRDefault="003F6149" w:rsidP="003F6149">
      <w:pPr>
        <w:rPr>
          <w:sz w:val="20"/>
          <w:szCs w:val="20"/>
        </w:rPr>
      </w:pPr>
      <w:r w:rsidRPr="004518F8">
        <w:rPr>
          <w:sz w:val="20"/>
          <w:szCs w:val="20"/>
        </w:rPr>
        <w:t xml:space="preserve">The treatment duration should be as short as possible. The appropriateness of continued treatment should be assessed within 3 months and periodically thereafter. </w:t>
      </w:r>
    </w:p>
    <w:p w14:paraId="38206A69" w14:textId="5AD1BFDE" w:rsidR="00A04859" w:rsidRPr="004518F8" w:rsidRDefault="00A04859" w:rsidP="00A04859">
      <w:pPr>
        <w:jc w:val="both"/>
        <w:rPr>
          <w:sz w:val="20"/>
          <w:szCs w:val="20"/>
          <w:u w:val="single"/>
        </w:rPr>
      </w:pPr>
    </w:p>
    <w:p w14:paraId="4E9F1210" w14:textId="124AE567" w:rsidR="00A04859" w:rsidRPr="004518F8" w:rsidRDefault="00A04859" w:rsidP="005747AF">
      <w:pPr>
        <w:pStyle w:val="Heading1"/>
        <w:jc w:val="both"/>
        <w:rPr>
          <w:sz w:val="20"/>
          <w:szCs w:val="20"/>
        </w:rPr>
      </w:pPr>
      <w:r w:rsidRPr="004518F8">
        <w:rPr>
          <w:sz w:val="20"/>
          <w:szCs w:val="20"/>
        </w:rPr>
        <w:t>Contraindications</w:t>
      </w:r>
    </w:p>
    <w:p w14:paraId="1E301EE6" w14:textId="77777777" w:rsidR="004518F8" w:rsidRPr="004518F8" w:rsidRDefault="008107DC" w:rsidP="005747AF">
      <w:pPr>
        <w:pStyle w:val="ListParagraph"/>
        <w:numPr>
          <w:ilvl w:val="0"/>
          <w:numId w:val="2"/>
        </w:numPr>
        <w:jc w:val="both"/>
        <w:rPr>
          <w:sz w:val="20"/>
          <w:szCs w:val="20"/>
        </w:rPr>
      </w:pPr>
      <w:r w:rsidRPr="004518F8">
        <w:rPr>
          <w:sz w:val="20"/>
          <w:szCs w:val="20"/>
        </w:rPr>
        <w:t xml:space="preserve">Hypersensitivity to </w:t>
      </w:r>
      <w:r w:rsidR="004518F8" w:rsidRPr="004518F8">
        <w:rPr>
          <w:sz w:val="20"/>
          <w:szCs w:val="20"/>
        </w:rPr>
        <w:t>daridorexant</w:t>
      </w:r>
      <w:r w:rsidRPr="004518F8">
        <w:rPr>
          <w:sz w:val="20"/>
          <w:szCs w:val="20"/>
        </w:rPr>
        <w:t xml:space="preserve"> or any of the excipients</w:t>
      </w:r>
    </w:p>
    <w:p w14:paraId="061A1B7A" w14:textId="329CC10E" w:rsidR="004518F8" w:rsidRPr="004518F8" w:rsidRDefault="008107DC" w:rsidP="005747AF">
      <w:pPr>
        <w:pStyle w:val="ListParagraph"/>
        <w:numPr>
          <w:ilvl w:val="0"/>
          <w:numId w:val="2"/>
        </w:numPr>
        <w:jc w:val="both"/>
        <w:rPr>
          <w:sz w:val="20"/>
          <w:szCs w:val="20"/>
        </w:rPr>
      </w:pPr>
      <w:r w:rsidRPr="004518F8">
        <w:rPr>
          <w:sz w:val="20"/>
          <w:szCs w:val="20"/>
        </w:rPr>
        <w:t>Narcolepsy</w:t>
      </w:r>
    </w:p>
    <w:p w14:paraId="68A4F9E6" w14:textId="42A71698" w:rsidR="008107DC" w:rsidRPr="004518F8" w:rsidRDefault="008107DC" w:rsidP="005747AF">
      <w:pPr>
        <w:pStyle w:val="ListParagraph"/>
        <w:numPr>
          <w:ilvl w:val="0"/>
          <w:numId w:val="2"/>
        </w:numPr>
        <w:jc w:val="both"/>
        <w:rPr>
          <w:sz w:val="20"/>
          <w:szCs w:val="20"/>
        </w:rPr>
      </w:pPr>
      <w:r w:rsidRPr="004518F8">
        <w:rPr>
          <w:sz w:val="20"/>
          <w:szCs w:val="20"/>
        </w:rPr>
        <w:t>Concomitant use with strong CYP3A4 inhibitors</w:t>
      </w:r>
    </w:p>
    <w:p w14:paraId="4EBCC05F" w14:textId="77496271" w:rsidR="00A04859" w:rsidRPr="004518F8" w:rsidRDefault="00A04859" w:rsidP="005747AF">
      <w:pPr>
        <w:jc w:val="both"/>
        <w:rPr>
          <w:sz w:val="20"/>
          <w:szCs w:val="20"/>
        </w:rPr>
      </w:pPr>
    </w:p>
    <w:p w14:paraId="3A2CD381" w14:textId="77777777" w:rsidR="00A04859" w:rsidRPr="004518F8" w:rsidRDefault="00A04859" w:rsidP="005747AF">
      <w:pPr>
        <w:pStyle w:val="Heading1"/>
        <w:jc w:val="both"/>
        <w:rPr>
          <w:sz w:val="20"/>
          <w:szCs w:val="20"/>
        </w:rPr>
      </w:pPr>
      <w:r w:rsidRPr="004518F8">
        <w:rPr>
          <w:sz w:val="20"/>
          <w:szCs w:val="20"/>
        </w:rPr>
        <w:t>Warnings and precautions for use</w:t>
      </w:r>
    </w:p>
    <w:p w14:paraId="0B1AA19C" w14:textId="2DABE144" w:rsidR="00D723D4" w:rsidRDefault="00F4397F" w:rsidP="005747AF">
      <w:pPr>
        <w:keepNext/>
        <w:jc w:val="both"/>
        <w:rPr>
          <w:sz w:val="20"/>
          <w:szCs w:val="20"/>
          <w:u w:val="single"/>
        </w:rPr>
      </w:pPr>
      <w:r>
        <w:rPr>
          <w:sz w:val="20"/>
          <w:szCs w:val="20"/>
        </w:rPr>
        <w:t>U</w:t>
      </w:r>
      <w:r w:rsidR="00D723D4">
        <w:rPr>
          <w:sz w:val="20"/>
          <w:szCs w:val="20"/>
        </w:rPr>
        <w:t xml:space="preserve">se </w:t>
      </w:r>
      <w:r w:rsidR="005B7A61" w:rsidRPr="004518F8">
        <w:rPr>
          <w:sz w:val="20"/>
          <w:szCs w:val="20"/>
        </w:rPr>
        <w:t xml:space="preserve">with caution </w:t>
      </w:r>
      <w:r w:rsidR="00D723D4">
        <w:rPr>
          <w:sz w:val="20"/>
          <w:szCs w:val="20"/>
        </w:rPr>
        <w:t xml:space="preserve">in elderly patients </w:t>
      </w:r>
      <w:r w:rsidR="005B7A61" w:rsidRPr="004518F8">
        <w:rPr>
          <w:sz w:val="20"/>
          <w:szCs w:val="20"/>
        </w:rPr>
        <w:t>because of the general risk of falls</w:t>
      </w:r>
      <w:r w:rsidR="008F1425">
        <w:rPr>
          <w:sz w:val="20"/>
          <w:szCs w:val="20"/>
        </w:rPr>
        <w:t xml:space="preserve">. </w:t>
      </w:r>
      <w:r w:rsidR="005B7A61" w:rsidRPr="004518F8">
        <w:rPr>
          <w:sz w:val="20"/>
          <w:szCs w:val="20"/>
        </w:rPr>
        <w:t>Efficacy and safety data in patients &gt;75 are limited.</w:t>
      </w:r>
      <w:bookmarkStart w:id="1" w:name="_Hlk34138936"/>
    </w:p>
    <w:p w14:paraId="4FA3AABB" w14:textId="77777777" w:rsidR="00D723D4" w:rsidRDefault="00D723D4" w:rsidP="005747AF">
      <w:pPr>
        <w:keepNext/>
        <w:jc w:val="both"/>
        <w:rPr>
          <w:sz w:val="20"/>
          <w:szCs w:val="20"/>
          <w:u w:val="single"/>
        </w:rPr>
      </w:pPr>
    </w:p>
    <w:p w14:paraId="1BADBFC8" w14:textId="17B681F1" w:rsidR="005B7A61" w:rsidRPr="004518F8" w:rsidRDefault="005B7A61" w:rsidP="005747AF">
      <w:pPr>
        <w:keepNext/>
        <w:jc w:val="both"/>
        <w:rPr>
          <w:sz w:val="20"/>
          <w:szCs w:val="20"/>
          <w:u w:val="single"/>
        </w:rPr>
      </w:pPr>
      <w:r w:rsidRPr="00984A84">
        <w:rPr>
          <w:sz w:val="20"/>
          <w:szCs w:val="20"/>
        </w:rPr>
        <w:t xml:space="preserve">Patients should be cautioned about </w:t>
      </w:r>
      <w:r w:rsidR="008F1425" w:rsidRPr="00984A84">
        <w:rPr>
          <w:sz w:val="20"/>
          <w:szCs w:val="20"/>
        </w:rPr>
        <w:t>drinking alcohol during treatment.</w:t>
      </w:r>
    </w:p>
    <w:p w14:paraId="73A314AD" w14:textId="1394F150" w:rsidR="005B7A61" w:rsidRPr="004518F8" w:rsidRDefault="005B7A61" w:rsidP="005747AF">
      <w:pPr>
        <w:jc w:val="both"/>
        <w:rPr>
          <w:sz w:val="20"/>
          <w:szCs w:val="20"/>
        </w:rPr>
      </w:pPr>
    </w:p>
    <w:p w14:paraId="5F3D21A7" w14:textId="53A1C384" w:rsidR="005B7A61" w:rsidRPr="004518F8" w:rsidRDefault="005B7A61" w:rsidP="005747AF">
      <w:pPr>
        <w:jc w:val="both"/>
        <w:rPr>
          <w:sz w:val="20"/>
          <w:szCs w:val="20"/>
        </w:rPr>
      </w:pPr>
      <w:r w:rsidRPr="004518F8">
        <w:rPr>
          <w:sz w:val="20"/>
          <w:szCs w:val="20"/>
        </w:rPr>
        <w:t>Sleep paralysis</w:t>
      </w:r>
      <w:r w:rsidR="00B0296D" w:rsidRPr="004518F8">
        <w:rPr>
          <w:sz w:val="20"/>
          <w:szCs w:val="20"/>
        </w:rPr>
        <w:t xml:space="preserve"> </w:t>
      </w:r>
      <w:r w:rsidRPr="004518F8">
        <w:rPr>
          <w:sz w:val="20"/>
          <w:szCs w:val="20"/>
        </w:rPr>
        <w:t>and hypnagogic/hypnopompic hallucinations</w:t>
      </w:r>
      <w:r w:rsidR="00B0296D" w:rsidRPr="004518F8">
        <w:rPr>
          <w:sz w:val="20"/>
          <w:szCs w:val="20"/>
        </w:rPr>
        <w:t xml:space="preserve"> </w:t>
      </w:r>
      <w:r w:rsidRPr="004518F8">
        <w:rPr>
          <w:sz w:val="20"/>
          <w:szCs w:val="20"/>
        </w:rPr>
        <w:t>can occur, mainly during the first weeks of treatment.</w:t>
      </w:r>
      <w:r w:rsidR="00B0296D" w:rsidRPr="004518F8">
        <w:rPr>
          <w:sz w:val="20"/>
          <w:szCs w:val="20"/>
        </w:rPr>
        <w:t xml:space="preserve"> </w:t>
      </w:r>
      <w:r w:rsidRPr="004518F8">
        <w:rPr>
          <w:sz w:val="20"/>
          <w:szCs w:val="20"/>
        </w:rPr>
        <w:t xml:space="preserve">Symptoms similar to mild cataplexy have been reported with dual orexin </w:t>
      </w:r>
      <w:r w:rsidRPr="00A365AF">
        <w:rPr>
          <w:sz w:val="20"/>
          <w:szCs w:val="20"/>
        </w:rPr>
        <w:t>receptor antagonists.</w:t>
      </w:r>
      <w:r w:rsidR="00B0296D" w:rsidRPr="00A365AF">
        <w:rPr>
          <w:sz w:val="20"/>
          <w:szCs w:val="20"/>
        </w:rPr>
        <w:t xml:space="preserve"> </w:t>
      </w:r>
      <w:r w:rsidRPr="00A365AF">
        <w:rPr>
          <w:sz w:val="20"/>
          <w:szCs w:val="20"/>
        </w:rPr>
        <w:t>Prescribers should explain th</w:t>
      </w:r>
      <w:r w:rsidR="00094D34" w:rsidRPr="00A365AF">
        <w:rPr>
          <w:sz w:val="20"/>
          <w:szCs w:val="20"/>
        </w:rPr>
        <w:t xml:space="preserve">is to patients and should consider </w:t>
      </w:r>
      <w:r w:rsidR="00A365AF" w:rsidRPr="00A365AF">
        <w:rPr>
          <w:sz w:val="20"/>
          <w:szCs w:val="20"/>
        </w:rPr>
        <w:t>discontinuing in case events occur.</w:t>
      </w:r>
    </w:p>
    <w:p w14:paraId="4740FB2E" w14:textId="77777777" w:rsidR="005B7A61" w:rsidRPr="004518F8" w:rsidRDefault="005B7A61" w:rsidP="005747AF">
      <w:pPr>
        <w:jc w:val="both"/>
        <w:rPr>
          <w:sz w:val="20"/>
          <w:szCs w:val="20"/>
        </w:rPr>
      </w:pPr>
    </w:p>
    <w:p w14:paraId="2BB12F70" w14:textId="5978651D" w:rsidR="005B7A61" w:rsidRPr="004518F8" w:rsidRDefault="00F4397F" w:rsidP="005747AF">
      <w:pPr>
        <w:keepNext/>
        <w:jc w:val="both"/>
        <w:rPr>
          <w:sz w:val="20"/>
          <w:szCs w:val="20"/>
          <w:u w:val="single"/>
        </w:rPr>
      </w:pPr>
      <w:bookmarkStart w:id="2" w:name="_Hlk51142686"/>
      <w:r>
        <w:rPr>
          <w:sz w:val="20"/>
          <w:szCs w:val="20"/>
        </w:rPr>
        <w:t>Use</w:t>
      </w:r>
      <w:r w:rsidR="00B0296D" w:rsidRPr="004518F8">
        <w:rPr>
          <w:rFonts w:eastAsiaTheme="minorHAnsi"/>
          <w:sz w:val="20"/>
          <w:szCs w:val="20"/>
        </w:rPr>
        <w:t xml:space="preserve"> with</w:t>
      </w:r>
      <w:r w:rsidR="005B7A61" w:rsidRPr="004518F8">
        <w:rPr>
          <w:rFonts w:eastAsiaTheme="minorHAnsi"/>
          <w:sz w:val="20"/>
          <w:szCs w:val="20"/>
        </w:rPr>
        <w:t xml:space="preserve"> caution in patients exhibiting symptoms of depression.</w:t>
      </w:r>
    </w:p>
    <w:bookmarkEnd w:id="2"/>
    <w:p w14:paraId="65C5871B" w14:textId="77777777" w:rsidR="005B7A61" w:rsidRPr="004518F8" w:rsidRDefault="005B7A61" w:rsidP="005747AF">
      <w:pPr>
        <w:jc w:val="both"/>
        <w:rPr>
          <w:rFonts w:eastAsiaTheme="minorHAnsi"/>
          <w:sz w:val="20"/>
          <w:szCs w:val="20"/>
        </w:rPr>
      </w:pPr>
    </w:p>
    <w:p w14:paraId="0C65F96B" w14:textId="64099BD0" w:rsidR="005B7A61" w:rsidRPr="004518F8" w:rsidRDefault="00F4397F" w:rsidP="005747AF">
      <w:pPr>
        <w:keepNext/>
        <w:jc w:val="both"/>
        <w:rPr>
          <w:sz w:val="20"/>
          <w:szCs w:val="20"/>
          <w:u w:val="single"/>
        </w:rPr>
      </w:pPr>
      <w:r>
        <w:rPr>
          <w:sz w:val="20"/>
          <w:szCs w:val="20"/>
        </w:rPr>
        <w:t>Use</w:t>
      </w:r>
      <w:r w:rsidR="005B7A61" w:rsidRPr="004518F8">
        <w:rPr>
          <w:rFonts w:eastAsiaTheme="minorHAnsi"/>
          <w:sz w:val="20"/>
          <w:szCs w:val="20"/>
        </w:rPr>
        <w:t xml:space="preserve"> with caution in patients with psychiatric co-morbidities </w:t>
      </w:r>
      <w:r w:rsidR="00B0296D" w:rsidRPr="004518F8">
        <w:rPr>
          <w:rFonts w:eastAsiaTheme="minorHAnsi"/>
          <w:sz w:val="20"/>
          <w:szCs w:val="20"/>
        </w:rPr>
        <w:t>due to</w:t>
      </w:r>
      <w:r w:rsidR="005B7A61" w:rsidRPr="004518F8">
        <w:rPr>
          <w:rFonts w:eastAsiaTheme="minorHAnsi"/>
          <w:sz w:val="20"/>
          <w:szCs w:val="20"/>
        </w:rPr>
        <w:t xml:space="preserve"> </w:t>
      </w:r>
      <w:r w:rsidR="00B0296D" w:rsidRPr="004518F8">
        <w:rPr>
          <w:rFonts w:eastAsiaTheme="minorHAnsi"/>
          <w:sz w:val="20"/>
          <w:szCs w:val="20"/>
        </w:rPr>
        <w:t xml:space="preserve">limited </w:t>
      </w:r>
      <w:r w:rsidR="005B7A61" w:rsidRPr="004518F8">
        <w:rPr>
          <w:rFonts w:eastAsiaTheme="minorHAnsi"/>
          <w:sz w:val="20"/>
          <w:szCs w:val="20"/>
        </w:rPr>
        <w:t>efficacy and safety data.</w:t>
      </w:r>
    </w:p>
    <w:p w14:paraId="3F1E3997" w14:textId="77777777" w:rsidR="005B7A61" w:rsidRPr="004518F8" w:rsidRDefault="005B7A61" w:rsidP="005747AF">
      <w:pPr>
        <w:jc w:val="both"/>
        <w:rPr>
          <w:sz w:val="20"/>
          <w:szCs w:val="20"/>
        </w:rPr>
      </w:pPr>
    </w:p>
    <w:p w14:paraId="608EC4CE" w14:textId="77777777" w:rsidR="00A365AF" w:rsidRDefault="00A365AF" w:rsidP="005747AF">
      <w:pPr>
        <w:keepNext/>
        <w:jc w:val="both"/>
        <w:rPr>
          <w:sz w:val="20"/>
          <w:szCs w:val="20"/>
          <w:highlight w:val="yellow"/>
        </w:rPr>
      </w:pPr>
    </w:p>
    <w:p w14:paraId="6E96C74E" w14:textId="77777777" w:rsidR="00A365AF" w:rsidRDefault="00A365AF" w:rsidP="005747AF">
      <w:pPr>
        <w:keepNext/>
        <w:jc w:val="both"/>
        <w:rPr>
          <w:sz w:val="20"/>
          <w:szCs w:val="20"/>
          <w:highlight w:val="yellow"/>
        </w:rPr>
      </w:pPr>
    </w:p>
    <w:p w14:paraId="37FBC02F" w14:textId="6D05403E" w:rsidR="005B7A61" w:rsidRPr="00C94928" w:rsidRDefault="005B7A61" w:rsidP="005747AF">
      <w:pPr>
        <w:keepNext/>
        <w:jc w:val="both"/>
        <w:rPr>
          <w:sz w:val="20"/>
          <w:szCs w:val="20"/>
        </w:rPr>
      </w:pPr>
      <w:r w:rsidRPr="00C94928">
        <w:rPr>
          <w:sz w:val="20"/>
          <w:szCs w:val="20"/>
        </w:rPr>
        <w:t xml:space="preserve">Daridorexant did not </w:t>
      </w:r>
      <w:r w:rsidR="00986E2B" w:rsidRPr="00C94928">
        <w:rPr>
          <w:sz w:val="20"/>
          <w:szCs w:val="20"/>
        </w:rPr>
        <w:t>have significant respiratory effects in patients with mild</w:t>
      </w:r>
      <w:r w:rsidR="00CC3BFB">
        <w:rPr>
          <w:sz w:val="20"/>
          <w:szCs w:val="20"/>
        </w:rPr>
        <w:t>,</w:t>
      </w:r>
      <w:r w:rsidR="00986E2B" w:rsidRPr="00C94928">
        <w:rPr>
          <w:sz w:val="20"/>
          <w:szCs w:val="20"/>
        </w:rPr>
        <w:t xml:space="preserve"> moderate </w:t>
      </w:r>
      <w:r w:rsidR="00CC3BFB">
        <w:rPr>
          <w:sz w:val="20"/>
          <w:szCs w:val="20"/>
        </w:rPr>
        <w:t xml:space="preserve">or severe </w:t>
      </w:r>
      <w:r w:rsidR="00986E2B" w:rsidRPr="00C94928">
        <w:rPr>
          <w:sz w:val="20"/>
          <w:szCs w:val="20"/>
        </w:rPr>
        <w:t xml:space="preserve">OSA </w:t>
      </w:r>
      <w:r w:rsidR="00C94928" w:rsidRPr="00C94928">
        <w:rPr>
          <w:sz w:val="20"/>
          <w:szCs w:val="20"/>
        </w:rPr>
        <w:t>or moderate COPD. In the absence of data, u</w:t>
      </w:r>
      <w:r w:rsidR="0044669A" w:rsidRPr="00C94928">
        <w:rPr>
          <w:sz w:val="20"/>
          <w:szCs w:val="20"/>
        </w:rPr>
        <w:t>se with c</w:t>
      </w:r>
      <w:r w:rsidRPr="00C94928">
        <w:rPr>
          <w:sz w:val="20"/>
          <w:szCs w:val="20"/>
        </w:rPr>
        <w:t xml:space="preserve">aution </w:t>
      </w:r>
      <w:r w:rsidR="0044669A" w:rsidRPr="00C94928">
        <w:rPr>
          <w:sz w:val="20"/>
          <w:szCs w:val="20"/>
        </w:rPr>
        <w:t>in</w:t>
      </w:r>
      <w:r w:rsidRPr="00C94928">
        <w:rPr>
          <w:sz w:val="20"/>
          <w:szCs w:val="20"/>
        </w:rPr>
        <w:t xml:space="preserve"> patients with and severe COPD. </w:t>
      </w:r>
    </w:p>
    <w:p w14:paraId="50089ACC" w14:textId="77777777" w:rsidR="005B7A61" w:rsidRPr="004518F8" w:rsidRDefault="005B7A61" w:rsidP="005747AF">
      <w:pPr>
        <w:jc w:val="both"/>
        <w:rPr>
          <w:sz w:val="20"/>
          <w:szCs w:val="20"/>
        </w:rPr>
      </w:pPr>
    </w:p>
    <w:p w14:paraId="7E24050C" w14:textId="67666427" w:rsidR="005B7A61" w:rsidRPr="00D723D4" w:rsidRDefault="005B7A61" w:rsidP="005747AF">
      <w:pPr>
        <w:keepNext/>
        <w:jc w:val="both"/>
        <w:rPr>
          <w:sz w:val="20"/>
          <w:szCs w:val="20"/>
          <w:highlight w:val="yellow"/>
          <w:u w:val="single"/>
        </w:rPr>
      </w:pPr>
      <w:bookmarkStart w:id="3" w:name="_Hlk83131912"/>
      <w:bookmarkEnd w:id="1"/>
      <w:r w:rsidRPr="00536645">
        <w:rPr>
          <w:iCs/>
          <w:sz w:val="20"/>
          <w:szCs w:val="20"/>
        </w:rPr>
        <w:t>There was no evidence of abuse or withdrawal symptoms indicative of physical dependence upon treatment discontinuation in clinical studies with daridorexant in subjects with insomnia.</w:t>
      </w:r>
      <w:r w:rsidR="00D723D4" w:rsidRPr="00536645">
        <w:rPr>
          <w:sz w:val="20"/>
          <w:szCs w:val="20"/>
        </w:rPr>
        <w:t xml:space="preserve"> </w:t>
      </w:r>
      <w:r w:rsidRPr="004518F8">
        <w:rPr>
          <w:iCs/>
          <w:sz w:val="20"/>
          <w:szCs w:val="20"/>
        </w:rPr>
        <w:t>Because individuals with a history of abuse or addiction to alcohol or other substances may be at increased risk for abuse of QUVIVIQ, these patients should be followed carefully.</w:t>
      </w:r>
    </w:p>
    <w:bookmarkEnd w:id="3"/>
    <w:p w14:paraId="46E28EBA" w14:textId="77777777" w:rsidR="005B7A61" w:rsidRPr="004518F8" w:rsidRDefault="005B7A61" w:rsidP="005747AF">
      <w:pPr>
        <w:jc w:val="both"/>
        <w:rPr>
          <w:sz w:val="20"/>
          <w:szCs w:val="20"/>
        </w:rPr>
      </w:pPr>
    </w:p>
    <w:p w14:paraId="42A33128" w14:textId="5DC07C17" w:rsidR="005B7A61" w:rsidRPr="004518F8" w:rsidRDefault="005B7A61" w:rsidP="005747AF">
      <w:pPr>
        <w:keepNext/>
        <w:jc w:val="both"/>
        <w:rPr>
          <w:sz w:val="20"/>
          <w:szCs w:val="20"/>
        </w:rPr>
      </w:pPr>
      <w:r w:rsidRPr="004518F8">
        <w:rPr>
          <w:sz w:val="20"/>
          <w:szCs w:val="20"/>
        </w:rPr>
        <w:t>Use is not recommended</w:t>
      </w:r>
      <w:r w:rsidR="00052E15">
        <w:rPr>
          <w:sz w:val="20"/>
          <w:szCs w:val="20"/>
        </w:rPr>
        <w:t xml:space="preserve"> in patients with severe hepatic impairment.</w:t>
      </w:r>
    </w:p>
    <w:p w14:paraId="4E73CD23" w14:textId="1318C044" w:rsidR="00741327" w:rsidRPr="004518F8" w:rsidRDefault="00741327" w:rsidP="005747AF">
      <w:pPr>
        <w:autoSpaceDE w:val="0"/>
        <w:autoSpaceDN w:val="0"/>
        <w:adjustRightInd w:val="0"/>
        <w:jc w:val="both"/>
        <w:rPr>
          <w:rFonts w:eastAsia="SimSun"/>
          <w:i/>
          <w:color w:val="0000CC"/>
          <w:sz w:val="20"/>
          <w:szCs w:val="20"/>
        </w:rPr>
      </w:pPr>
    </w:p>
    <w:p w14:paraId="158D8C4E" w14:textId="60F586D3" w:rsidR="00A04859" w:rsidRPr="004518F8" w:rsidRDefault="00A04859" w:rsidP="005747AF">
      <w:pPr>
        <w:pStyle w:val="Heading1"/>
        <w:jc w:val="both"/>
        <w:rPr>
          <w:sz w:val="20"/>
          <w:szCs w:val="20"/>
        </w:rPr>
      </w:pPr>
      <w:r w:rsidRPr="004518F8">
        <w:rPr>
          <w:sz w:val="20"/>
          <w:szCs w:val="20"/>
        </w:rPr>
        <w:t>Interactions</w:t>
      </w:r>
    </w:p>
    <w:p w14:paraId="724C4F9E" w14:textId="6D94D39C" w:rsidR="00A04859" w:rsidRPr="00147760" w:rsidRDefault="00C2166B" w:rsidP="005747AF">
      <w:pPr>
        <w:autoSpaceDE w:val="0"/>
        <w:autoSpaceDN w:val="0"/>
        <w:adjustRightInd w:val="0"/>
        <w:jc w:val="both"/>
        <w:rPr>
          <w:sz w:val="20"/>
          <w:szCs w:val="20"/>
        </w:rPr>
      </w:pPr>
      <w:r w:rsidRPr="00C8658E">
        <w:rPr>
          <w:sz w:val="20"/>
          <w:szCs w:val="20"/>
        </w:rPr>
        <w:t xml:space="preserve">The recommended dose is 25 mg when used with moderate CYP3A4 inhibitors. Contraindicated with strong CYP3A4 inhibitors. </w:t>
      </w:r>
      <w:r w:rsidR="007343B5" w:rsidRPr="00C8658E">
        <w:rPr>
          <w:sz w:val="20"/>
          <w:szCs w:val="20"/>
        </w:rPr>
        <w:t xml:space="preserve">Use with moderate or strong CYP3A4 inducers may reduce efficacy. </w:t>
      </w:r>
      <w:r w:rsidR="008B7A90" w:rsidRPr="00C8658E">
        <w:rPr>
          <w:sz w:val="20"/>
          <w:szCs w:val="20"/>
        </w:rPr>
        <w:t xml:space="preserve">Caution should be used in case of </w:t>
      </w:r>
      <w:r w:rsidR="00276435" w:rsidRPr="00C8658E">
        <w:rPr>
          <w:sz w:val="20"/>
          <w:szCs w:val="20"/>
        </w:rPr>
        <w:t>simultaneous</w:t>
      </w:r>
      <w:r w:rsidR="008B7A90" w:rsidRPr="00C8658E">
        <w:rPr>
          <w:sz w:val="20"/>
          <w:szCs w:val="20"/>
        </w:rPr>
        <w:t xml:space="preserve"> administration with CYP3A4</w:t>
      </w:r>
      <w:r w:rsidR="007A1204" w:rsidRPr="00C8658E">
        <w:rPr>
          <w:sz w:val="20"/>
          <w:szCs w:val="20"/>
        </w:rPr>
        <w:t xml:space="preserve"> and P-gp</w:t>
      </w:r>
      <w:r w:rsidR="008B7A90" w:rsidRPr="00C8658E">
        <w:rPr>
          <w:sz w:val="20"/>
          <w:szCs w:val="20"/>
        </w:rPr>
        <w:t xml:space="preserve"> substrates</w:t>
      </w:r>
      <w:r w:rsidR="00276435" w:rsidRPr="00C8658E">
        <w:rPr>
          <w:sz w:val="20"/>
          <w:szCs w:val="20"/>
        </w:rPr>
        <w:t>, with close monitoring in the case of medicinal products with a narrow therapeutic index.</w:t>
      </w:r>
    </w:p>
    <w:p w14:paraId="40BCA541" w14:textId="1AC6DC45" w:rsidR="00871D5A" w:rsidRPr="004518F8" w:rsidRDefault="00871D5A" w:rsidP="005747AF">
      <w:pPr>
        <w:jc w:val="both"/>
        <w:rPr>
          <w:sz w:val="20"/>
          <w:szCs w:val="20"/>
        </w:rPr>
      </w:pPr>
    </w:p>
    <w:p w14:paraId="6F087E30" w14:textId="4B46D7FD" w:rsidR="00A04859" w:rsidRPr="004518F8" w:rsidRDefault="00A04859" w:rsidP="005747AF">
      <w:pPr>
        <w:pStyle w:val="Heading1"/>
        <w:jc w:val="both"/>
        <w:rPr>
          <w:sz w:val="20"/>
          <w:szCs w:val="20"/>
        </w:rPr>
      </w:pPr>
      <w:r w:rsidRPr="004518F8">
        <w:rPr>
          <w:sz w:val="20"/>
          <w:szCs w:val="20"/>
        </w:rPr>
        <w:t>Fertility, pregnancy and lactation</w:t>
      </w:r>
    </w:p>
    <w:p w14:paraId="63CC68A0" w14:textId="72FA4BE7" w:rsidR="00C8658E" w:rsidRDefault="00924DEF" w:rsidP="005747AF">
      <w:pPr>
        <w:jc w:val="both"/>
        <w:rPr>
          <w:sz w:val="20"/>
          <w:szCs w:val="20"/>
        </w:rPr>
      </w:pPr>
      <w:r w:rsidRPr="004518F8">
        <w:rPr>
          <w:sz w:val="20"/>
          <w:szCs w:val="20"/>
        </w:rPr>
        <w:t>Use</w:t>
      </w:r>
      <w:r w:rsidR="005C72AD" w:rsidRPr="004518F8">
        <w:rPr>
          <w:sz w:val="20"/>
          <w:szCs w:val="20"/>
        </w:rPr>
        <w:t xml:space="preserve"> during pregnancy only if the clinical condition of the pregnant woman requires treatment with </w:t>
      </w:r>
      <w:r w:rsidR="00970638">
        <w:rPr>
          <w:sz w:val="20"/>
          <w:szCs w:val="20"/>
        </w:rPr>
        <w:t>QUVIVIQ</w:t>
      </w:r>
      <w:r w:rsidR="005C72AD" w:rsidRPr="004518F8">
        <w:rPr>
          <w:sz w:val="20"/>
          <w:szCs w:val="20"/>
        </w:rPr>
        <w:t>.</w:t>
      </w:r>
      <w:r w:rsidR="00496F1E" w:rsidRPr="004518F8">
        <w:rPr>
          <w:sz w:val="20"/>
          <w:szCs w:val="20"/>
        </w:rPr>
        <w:t xml:space="preserve"> </w:t>
      </w:r>
    </w:p>
    <w:p w14:paraId="55959FC0" w14:textId="2E105A5E" w:rsidR="00B372DC" w:rsidRPr="004518F8" w:rsidRDefault="005D0DDA" w:rsidP="005747AF">
      <w:pPr>
        <w:jc w:val="both"/>
        <w:rPr>
          <w:sz w:val="20"/>
          <w:szCs w:val="20"/>
        </w:rPr>
      </w:pPr>
      <w:r>
        <w:rPr>
          <w:sz w:val="20"/>
          <w:szCs w:val="20"/>
        </w:rPr>
        <w:t>The presence of daridorexant in breast</w:t>
      </w:r>
      <w:r w:rsidR="00C657A9">
        <w:rPr>
          <w:sz w:val="20"/>
          <w:szCs w:val="20"/>
        </w:rPr>
        <w:t xml:space="preserve"> </w:t>
      </w:r>
      <w:r>
        <w:rPr>
          <w:sz w:val="20"/>
          <w:szCs w:val="20"/>
        </w:rPr>
        <w:t xml:space="preserve">milk is low. </w:t>
      </w:r>
      <w:r w:rsidR="0081267A">
        <w:rPr>
          <w:sz w:val="20"/>
          <w:szCs w:val="20"/>
        </w:rPr>
        <w:t>Avoid use during breast-feeding because a</w:t>
      </w:r>
      <w:r w:rsidR="0081267A" w:rsidRPr="0081267A">
        <w:rPr>
          <w:sz w:val="20"/>
          <w:szCs w:val="20"/>
        </w:rPr>
        <w:t xml:space="preserve"> risk of excessive somnolence to the breastfed infant cannot be excluded.</w:t>
      </w:r>
    </w:p>
    <w:p w14:paraId="651BE434" w14:textId="66E53FCB" w:rsidR="00A04859" w:rsidRPr="004518F8" w:rsidRDefault="00A04859" w:rsidP="005747AF">
      <w:pPr>
        <w:jc w:val="both"/>
        <w:rPr>
          <w:sz w:val="20"/>
          <w:szCs w:val="20"/>
        </w:rPr>
      </w:pPr>
    </w:p>
    <w:p w14:paraId="7A0E87C9" w14:textId="77777777" w:rsidR="00A04859" w:rsidRPr="004518F8" w:rsidRDefault="00A04859" w:rsidP="005747AF">
      <w:pPr>
        <w:pStyle w:val="Heading1"/>
        <w:jc w:val="both"/>
        <w:rPr>
          <w:sz w:val="20"/>
          <w:szCs w:val="20"/>
        </w:rPr>
      </w:pPr>
      <w:r w:rsidRPr="004518F8">
        <w:rPr>
          <w:sz w:val="20"/>
          <w:szCs w:val="20"/>
        </w:rPr>
        <w:t>Effects on availability to drive and use machines</w:t>
      </w:r>
    </w:p>
    <w:p w14:paraId="36CAC9C1" w14:textId="1C1A9C6E" w:rsidR="00D60A22" w:rsidRPr="004518F8" w:rsidRDefault="00D60A22" w:rsidP="005747AF">
      <w:pPr>
        <w:jc w:val="both"/>
        <w:rPr>
          <w:sz w:val="20"/>
          <w:szCs w:val="20"/>
        </w:rPr>
      </w:pPr>
      <w:r w:rsidRPr="004518F8">
        <w:rPr>
          <w:sz w:val="20"/>
          <w:szCs w:val="20"/>
        </w:rPr>
        <w:t>Patients should be cautioned about engaging in potentially hazardous activities, driving, or operating heavy machinery unless they feel fully alert, especially in the first few days of treatment. In order to minimise this risk, a period of approximately 9 hours is recommended between taking QUVIVIQ and driving or using machines.</w:t>
      </w:r>
    </w:p>
    <w:p w14:paraId="2A218ACC" w14:textId="58132743" w:rsidR="00A04859" w:rsidRPr="004518F8" w:rsidRDefault="00A04859" w:rsidP="005747AF">
      <w:pPr>
        <w:jc w:val="both"/>
        <w:rPr>
          <w:sz w:val="20"/>
          <w:szCs w:val="20"/>
        </w:rPr>
      </w:pPr>
    </w:p>
    <w:p w14:paraId="63D687E1" w14:textId="16636B3B" w:rsidR="00A04859" w:rsidRPr="004518F8" w:rsidRDefault="00A04859" w:rsidP="005747AF">
      <w:pPr>
        <w:pStyle w:val="Heading1"/>
        <w:jc w:val="both"/>
        <w:rPr>
          <w:sz w:val="20"/>
          <w:szCs w:val="20"/>
        </w:rPr>
      </w:pPr>
      <w:r w:rsidRPr="004518F8">
        <w:rPr>
          <w:sz w:val="20"/>
          <w:szCs w:val="20"/>
        </w:rPr>
        <w:t>Undesirable effects</w:t>
      </w:r>
    </w:p>
    <w:p w14:paraId="406778EC" w14:textId="67DF6C2E" w:rsidR="00A04859" w:rsidRPr="004518F8" w:rsidRDefault="00A04859" w:rsidP="005747AF">
      <w:pPr>
        <w:autoSpaceDE w:val="0"/>
        <w:autoSpaceDN w:val="0"/>
        <w:adjustRightInd w:val="0"/>
        <w:jc w:val="both"/>
        <w:rPr>
          <w:rFonts w:eastAsia="SimSun"/>
          <w:color w:val="0000CC"/>
          <w:sz w:val="20"/>
          <w:szCs w:val="20"/>
        </w:rPr>
      </w:pPr>
      <w:r w:rsidRPr="004518F8">
        <w:rPr>
          <w:rFonts w:eastAsia="SimSun"/>
          <w:sz w:val="20"/>
          <w:szCs w:val="20"/>
        </w:rPr>
        <w:t>Common (≥</w:t>
      </w:r>
      <w:r w:rsidR="009879D8">
        <w:rPr>
          <w:rFonts w:eastAsia="SimSun"/>
          <w:sz w:val="20"/>
          <w:szCs w:val="20"/>
        </w:rPr>
        <w:t> </w:t>
      </w:r>
      <w:r w:rsidRPr="004518F8">
        <w:rPr>
          <w:rFonts w:eastAsia="SimSun"/>
          <w:sz w:val="20"/>
          <w:szCs w:val="20"/>
        </w:rPr>
        <w:t>1/100 to &lt; 1/10)</w:t>
      </w:r>
      <w:r w:rsidR="00B42275" w:rsidRPr="004518F8">
        <w:rPr>
          <w:rFonts w:eastAsia="SimSun"/>
          <w:sz w:val="20"/>
          <w:szCs w:val="20"/>
        </w:rPr>
        <w:t>: headache, somnolence, dizziness, nausea, fatigue.</w:t>
      </w:r>
    </w:p>
    <w:p w14:paraId="5C96D232" w14:textId="67C660AA" w:rsidR="00A04859" w:rsidRPr="004518F8" w:rsidRDefault="00A04859" w:rsidP="005747AF">
      <w:pPr>
        <w:autoSpaceDE w:val="0"/>
        <w:autoSpaceDN w:val="0"/>
        <w:adjustRightInd w:val="0"/>
        <w:jc w:val="both"/>
        <w:rPr>
          <w:rFonts w:eastAsia="SimSun"/>
          <w:sz w:val="20"/>
          <w:szCs w:val="20"/>
        </w:rPr>
      </w:pPr>
      <w:r w:rsidRPr="004518F8">
        <w:rPr>
          <w:rFonts w:eastAsia="SimSun"/>
          <w:sz w:val="20"/>
          <w:szCs w:val="20"/>
        </w:rPr>
        <w:t>Consult the full SmPC for less common side effects.</w:t>
      </w:r>
    </w:p>
    <w:p w14:paraId="30CA8877" w14:textId="15B233BD" w:rsidR="00A04859" w:rsidRPr="004518F8" w:rsidRDefault="00A04859" w:rsidP="005747AF">
      <w:pPr>
        <w:autoSpaceDE w:val="0"/>
        <w:autoSpaceDN w:val="0"/>
        <w:adjustRightInd w:val="0"/>
        <w:jc w:val="both"/>
        <w:rPr>
          <w:rFonts w:eastAsia="SimSun"/>
          <w:i/>
          <w:sz w:val="20"/>
          <w:szCs w:val="20"/>
        </w:rPr>
      </w:pPr>
    </w:p>
    <w:p w14:paraId="64E21891" w14:textId="77777777" w:rsidR="00A04859" w:rsidRPr="004518F8" w:rsidRDefault="00A04859" w:rsidP="005747AF">
      <w:pPr>
        <w:pStyle w:val="Heading1"/>
        <w:jc w:val="both"/>
        <w:rPr>
          <w:sz w:val="20"/>
          <w:szCs w:val="20"/>
        </w:rPr>
      </w:pPr>
      <w:r w:rsidRPr="004518F8">
        <w:rPr>
          <w:sz w:val="20"/>
          <w:szCs w:val="20"/>
        </w:rPr>
        <w:t>Overdose</w:t>
      </w:r>
    </w:p>
    <w:p w14:paraId="0C862F6B" w14:textId="03B73D93" w:rsidR="00F62724" w:rsidRDefault="004D2E48" w:rsidP="005747AF">
      <w:pPr>
        <w:jc w:val="both"/>
        <w:rPr>
          <w:sz w:val="20"/>
          <w:szCs w:val="20"/>
        </w:rPr>
      </w:pPr>
      <w:r w:rsidRPr="004518F8">
        <w:rPr>
          <w:sz w:val="20"/>
          <w:szCs w:val="20"/>
        </w:rPr>
        <w:t>G</w:t>
      </w:r>
      <w:r w:rsidR="00F62724" w:rsidRPr="004518F8">
        <w:rPr>
          <w:sz w:val="20"/>
          <w:szCs w:val="20"/>
        </w:rPr>
        <w:t>eneral symptomatic and supportive medical care should be provided</w:t>
      </w:r>
      <w:r w:rsidRPr="004518F8">
        <w:rPr>
          <w:sz w:val="20"/>
          <w:szCs w:val="20"/>
        </w:rPr>
        <w:t>, adverse reactions at supra</w:t>
      </w:r>
      <w:r w:rsidRPr="00C517A3">
        <w:rPr>
          <w:sz w:val="20"/>
          <w:szCs w:val="20"/>
        </w:rPr>
        <w:t>-therapeutic doses</w:t>
      </w:r>
      <w:r w:rsidR="00F95725" w:rsidRPr="00C517A3">
        <w:rPr>
          <w:sz w:val="20"/>
          <w:szCs w:val="20"/>
        </w:rPr>
        <w:t xml:space="preserve"> </w:t>
      </w:r>
      <w:r w:rsidR="00C517A3" w:rsidRPr="00C517A3">
        <w:rPr>
          <w:sz w:val="20"/>
          <w:szCs w:val="20"/>
        </w:rPr>
        <w:t xml:space="preserve">may </w:t>
      </w:r>
      <w:r w:rsidRPr="00C517A3">
        <w:rPr>
          <w:sz w:val="20"/>
          <w:szCs w:val="20"/>
        </w:rPr>
        <w:t>include somnolence, muscular weakness, disturbance in attention, fatigue, headache and constipation</w:t>
      </w:r>
      <w:r w:rsidR="00F62724" w:rsidRPr="004518F8">
        <w:rPr>
          <w:sz w:val="20"/>
          <w:szCs w:val="20"/>
        </w:rPr>
        <w:t xml:space="preserve">. </w:t>
      </w:r>
    </w:p>
    <w:p w14:paraId="69FB9E4F" w14:textId="77777777" w:rsidR="00C12321" w:rsidRPr="004518F8" w:rsidRDefault="00C12321" w:rsidP="005747AF">
      <w:pPr>
        <w:jc w:val="both"/>
        <w:rPr>
          <w:sz w:val="20"/>
          <w:szCs w:val="20"/>
        </w:rPr>
      </w:pPr>
    </w:p>
    <w:p w14:paraId="0E6A0303" w14:textId="3FB94D5C" w:rsidR="00A04859" w:rsidRPr="004518F8" w:rsidRDefault="00A04859" w:rsidP="005747AF">
      <w:pPr>
        <w:pStyle w:val="Heading1"/>
        <w:jc w:val="both"/>
        <w:rPr>
          <w:sz w:val="20"/>
          <w:szCs w:val="20"/>
        </w:rPr>
      </w:pPr>
      <w:r w:rsidRPr="004518F8">
        <w:rPr>
          <w:sz w:val="20"/>
          <w:szCs w:val="20"/>
        </w:rPr>
        <w:t>Packaging quantity and storage conditions</w:t>
      </w:r>
    </w:p>
    <w:p w14:paraId="2DD42259" w14:textId="570D5B97" w:rsidR="00A04859" w:rsidRPr="004518F8" w:rsidRDefault="004E6DB9" w:rsidP="005747AF">
      <w:pPr>
        <w:jc w:val="both"/>
        <w:rPr>
          <w:iCs/>
          <w:sz w:val="20"/>
          <w:szCs w:val="20"/>
        </w:rPr>
      </w:pPr>
      <w:r>
        <w:rPr>
          <w:iCs/>
          <w:sz w:val="20"/>
          <w:szCs w:val="20"/>
        </w:rPr>
        <w:t>B</w:t>
      </w:r>
      <w:r w:rsidR="003031E2" w:rsidRPr="004518F8">
        <w:rPr>
          <w:iCs/>
          <w:sz w:val="20"/>
          <w:szCs w:val="20"/>
        </w:rPr>
        <w:t>lister</w:t>
      </w:r>
      <w:r>
        <w:rPr>
          <w:iCs/>
          <w:sz w:val="20"/>
          <w:szCs w:val="20"/>
        </w:rPr>
        <w:t>s</w:t>
      </w:r>
      <w:r w:rsidR="003031E2" w:rsidRPr="004518F8">
        <w:rPr>
          <w:iCs/>
          <w:sz w:val="20"/>
          <w:szCs w:val="20"/>
        </w:rPr>
        <w:t xml:space="preserve"> packed in cartons</w:t>
      </w:r>
      <w:r w:rsidR="00EB7C77" w:rsidRPr="004518F8">
        <w:rPr>
          <w:iCs/>
          <w:sz w:val="20"/>
          <w:szCs w:val="20"/>
        </w:rPr>
        <w:t xml:space="preserve"> of 10</w:t>
      </w:r>
      <w:r w:rsidR="00F50208" w:rsidRPr="00F91664">
        <w:rPr>
          <w:iCs/>
          <w:sz w:val="20"/>
          <w:szCs w:val="20"/>
        </w:rPr>
        <w:t>, 20</w:t>
      </w:r>
      <w:r w:rsidR="003031E2" w:rsidRPr="004518F8">
        <w:rPr>
          <w:iCs/>
          <w:sz w:val="20"/>
          <w:szCs w:val="20"/>
        </w:rPr>
        <w:t xml:space="preserve"> or 30 film-coated tablets.</w:t>
      </w:r>
      <w:r w:rsidR="00EB7C77" w:rsidRPr="004518F8">
        <w:rPr>
          <w:iCs/>
          <w:sz w:val="20"/>
          <w:szCs w:val="20"/>
        </w:rPr>
        <w:t xml:space="preserve"> </w:t>
      </w:r>
      <w:r w:rsidR="002C122D">
        <w:rPr>
          <w:iCs/>
          <w:sz w:val="20"/>
          <w:szCs w:val="20"/>
        </w:rPr>
        <w:t>No</w:t>
      </w:r>
      <w:r w:rsidR="00EB7C77" w:rsidRPr="004518F8">
        <w:rPr>
          <w:iCs/>
          <w:sz w:val="20"/>
          <w:szCs w:val="20"/>
        </w:rPr>
        <w:t xml:space="preserve"> special storage conditions</w:t>
      </w:r>
      <w:r w:rsidR="002C122D">
        <w:rPr>
          <w:iCs/>
          <w:sz w:val="20"/>
          <w:szCs w:val="20"/>
        </w:rPr>
        <w:t xml:space="preserve"> required.</w:t>
      </w:r>
      <w:r w:rsidR="00EB7C77" w:rsidRPr="004518F8">
        <w:rPr>
          <w:iCs/>
          <w:sz w:val="20"/>
          <w:szCs w:val="20"/>
        </w:rPr>
        <w:t xml:space="preserve"> </w:t>
      </w:r>
    </w:p>
    <w:p w14:paraId="74C914BB" w14:textId="77777777" w:rsidR="00EB7C77" w:rsidRPr="004518F8" w:rsidRDefault="00EB7C77" w:rsidP="005747AF">
      <w:pPr>
        <w:jc w:val="both"/>
        <w:rPr>
          <w:sz w:val="20"/>
          <w:szCs w:val="20"/>
        </w:rPr>
      </w:pPr>
    </w:p>
    <w:p w14:paraId="3E366AB4" w14:textId="15468C70" w:rsidR="00A04859" w:rsidRPr="00F91664" w:rsidRDefault="00A04859" w:rsidP="00A04859">
      <w:pPr>
        <w:pStyle w:val="Heading1"/>
        <w:rPr>
          <w:sz w:val="20"/>
          <w:szCs w:val="20"/>
          <w:lang w:val="en-US"/>
        </w:rPr>
      </w:pPr>
      <w:r w:rsidRPr="00F91664">
        <w:rPr>
          <w:sz w:val="20"/>
          <w:szCs w:val="20"/>
          <w:lang w:val="en-US"/>
        </w:rPr>
        <w:lastRenderedPageBreak/>
        <w:t>Marketing Authorisation Holder and Numbers</w:t>
      </w:r>
    </w:p>
    <w:p w14:paraId="574F9485" w14:textId="77777777" w:rsidR="001D58E3" w:rsidRPr="00F91664" w:rsidRDefault="001D58E3" w:rsidP="001D58E3">
      <w:pPr>
        <w:keepNext/>
        <w:rPr>
          <w:sz w:val="20"/>
          <w:szCs w:val="20"/>
          <w:lang w:val="en-US"/>
        </w:rPr>
      </w:pPr>
      <w:r w:rsidRPr="00F91664">
        <w:rPr>
          <w:sz w:val="20"/>
          <w:szCs w:val="20"/>
          <w:lang w:val="en-US"/>
        </w:rPr>
        <w:t>Idorsia Pharmaceuticals Deutschland GmbH</w:t>
      </w:r>
    </w:p>
    <w:p w14:paraId="230196A6" w14:textId="77777777" w:rsidR="001D58E3" w:rsidRPr="00F91664" w:rsidRDefault="001D58E3" w:rsidP="001D58E3">
      <w:pPr>
        <w:keepNext/>
        <w:rPr>
          <w:sz w:val="20"/>
          <w:szCs w:val="20"/>
          <w:lang w:val="en-US"/>
        </w:rPr>
      </w:pPr>
      <w:r w:rsidRPr="00F91664">
        <w:rPr>
          <w:sz w:val="20"/>
          <w:szCs w:val="20"/>
          <w:lang w:val="en-US"/>
        </w:rPr>
        <w:t>Marie-Curie-Strasse 8</w:t>
      </w:r>
    </w:p>
    <w:p w14:paraId="0EFD1A1A" w14:textId="7B7BEF15" w:rsidR="001D58E3" w:rsidRPr="00F91664" w:rsidRDefault="001D58E3" w:rsidP="001D58E3">
      <w:pPr>
        <w:keepNext/>
        <w:rPr>
          <w:sz w:val="20"/>
          <w:szCs w:val="20"/>
          <w:lang w:val="en-US"/>
        </w:rPr>
      </w:pPr>
      <w:r w:rsidRPr="00F91664">
        <w:rPr>
          <w:sz w:val="20"/>
          <w:szCs w:val="20"/>
          <w:lang w:val="en-US"/>
        </w:rPr>
        <w:t>79539 Lörrach</w:t>
      </w:r>
    </w:p>
    <w:p w14:paraId="1EDF08FA" w14:textId="77777777" w:rsidR="001D58E3" w:rsidRPr="00F91664" w:rsidRDefault="001D58E3" w:rsidP="001D58E3">
      <w:pPr>
        <w:rPr>
          <w:sz w:val="20"/>
          <w:szCs w:val="20"/>
          <w:lang w:val="en-US"/>
        </w:rPr>
      </w:pPr>
      <w:r w:rsidRPr="00F91664">
        <w:rPr>
          <w:sz w:val="20"/>
          <w:szCs w:val="20"/>
          <w:lang w:val="en-US"/>
        </w:rPr>
        <w:t>Germany</w:t>
      </w:r>
    </w:p>
    <w:p w14:paraId="58FE2DA5" w14:textId="678CBEA9" w:rsidR="001D58E3" w:rsidRPr="00F91664" w:rsidRDefault="001D58E3" w:rsidP="00F162EC">
      <w:pPr>
        <w:rPr>
          <w:noProof/>
          <w:sz w:val="20"/>
          <w:szCs w:val="20"/>
          <w:lang w:val="en-US"/>
        </w:rPr>
      </w:pPr>
    </w:p>
    <w:p w14:paraId="729E8B11" w14:textId="65857FE6" w:rsidR="00F162EC" w:rsidRPr="00F91664" w:rsidRDefault="00F162EC" w:rsidP="00F162EC">
      <w:pPr>
        <w:rPr>
          <w:noProof/>
          <w:sz w:val="20"/>
          <w:szCs w:val="20"/>
          <w:lang w:val="en-US"/>
        </w:rPr>
      </w:pPr>
      <w:r w:rsidRPr="00F91664">
        <w:rPr>
          <w:noProof/>
          <w:sz w:val="20"/>
          <w:szCs w:val="20"/>
          <w:lang w:val="en-US"/>
        </w:rPr>
        <w:t>EU/1/22/1638/001</w:t>
      </w:r>
      <w:r w:rsidR="00D42510" w:rsidRPr="00F91664">
        <w:rPr>
          <w:noProof/>
          <w:sz w:val="20"/>
          <w:szCs w:val="20"/>
          <w:lang w:val="en-US"/>
        </w:rPr>
        <w:t>-00</w:t>
      </w:r>
      <w:r w:rsidR="00F50208" w:rsidRPr="00F91664">
        <w:rPr>
          <w:noProof/>
          <w:sz w:val="20"/>
          <w:szCs w:val="20"/>
          <w:lang w:val="en-US"/>
        </w:rPr>
        <w:t>6</w:t>
      </w:r>
    </w:p>
    <w:p w14:paraId="70BFD01A" w14:textId="77777777" w:rsidR="006E23FF" w:rsidRPr="00F91664" w:rsidRDefault="006E23FF" w:rsidP="00A04859">
      <w:pPr>
        <w:pStyle w:val="Heading1"/>
        <w:rPr>
          <w:sz w:val="20"/>
          <w:szCs w:val="20"/>
          <w:lang w:val="en-US"/>
        </w:rPr>
      </w:pPr>
    </w:p>
    <w:p w14:paraId="781179A3" w14:textId="1E02E960" w:rsidR="00A04859" w:rsidRPr="00F91664" w:rsidRDefault="00A04859" w:rsidP="00A04859">
      <w:pPr>
        <w:pStyle w:val="Heading1"/>
        <w:rPr>
          <w:sz w:val="20"/>
          <w:szCs w:val="20"/>
          <w:lang w:val="en-US"/>
        </w:rPr>
      </w:pPr>
      <w:r w:rsidRPr="00F91664">
        <w:rPr>
          <w:sz w:val="20"/>
          <w:szCs w:val="20"/>
          <w:lang w:val="en-US"/>
        </w:rPr>
        <w:t>Cost</w:t>
      </w:r>
    </w:p>
    <w:p w14:paraId="51746B08" w14:textId="131A3F89" w:rsidR="00A04859" w:rsidRPr="00F91664" w:rsidRDefault="00A04859" w:rsidP="00A04859">
      <w:pPr>
        <w:jc w:val="both"/>
        <w:rPr>
          <w:i/>
          <w:color w:val="0000CC"/>
          <w:sz w:val="20"/>
          <w:szCs w:val="20"/>
          <w:lang w:val="en-US"/>
        </w:rPr>
      </w:pPr>
      <w:r w:rsidRPr="00F91664">
        <w:rPr>
          <w:i/>
          <w:color w:val="0000CC"/>
          <w:sz w:val="20"/>
          <w:szCs w:val="20"/>
          <w:lang w:val="en-US"/>
        </w:rPr>
        <w:t>Local information - as per local requirements.</w:t>
      </w:r>
    </w:p>
    <w:p w14:paraId="7A3B05D1" w14:textId="465F718D" w:rsidR="00A04859" w:rsidRPr="00F91664" w:rsidRDefault="00A04859" w:rsidP="00A04859">
      <w:pPr>
        <w:pStyle w:val="EndnoteText"/>
        <w:tabs>
          <w:tab w:val="clear" w:pos="567"/>
        </w:tabs>
        <w:rPr>
          <w:sz w:val="20"/>
          <w:lang w:val="en-US"/>
        </w:rPr>
      </w:pPr>
    </w:p>
    <w:p w14:paraId="455B230E" w14:textId="354EE69B" w:rsidR="00A04859" w:rsidRPr="00F91664" w:rsidRDefault="00A04859" w:rsidP="00A04859">
      <w:pPr>
        <w:pStyle w:val="Heading1"/>
        <w:rPr>
          <w:sz w:val="20"/>
          <w:szCs w:val="20"/>
          <w:lang w:val="en-US"/>
        </w:rPr>
      </w:pPr>
      <w:r w:rsidRPr="00F91664">
        <w:rPr>
          <w:sz w:val="20"/>
          <w:szCs w:val="20"/>
          <w:lang w:val="en-US"/>
        </w:rPr>
        <w:t>Prescription conditions</w:t>
      </w:r>
    </w:p>
    <w:p w14:paraId="545C9AF0" w14:textId="44DFF0B3" w:rsidR="00A04859" w:rsidRPr="00F91664" w:rsidRDefault="00A04859" w:rsidP="00A04859">
      <w:pPr>
        <w:jc w:val="both"/>
        <w:rPr>
          <w:i/>
          <w:color w:val="0000CC"/>
          <w:sz w:val="20"/>
          <w:szCs w:val="20"/>
          <w:lang w:val="en-US"/>
        </w:rPr>
      </w:pPr>
      <w:r w:rsidRPr="00F91664">
        <w:rPr>
          <w:i/>
          <w:color w:val="0000CC"/>
          <w:sz w:val="20"/>
          <w:szCs w:val="20"/>
          <w:lang w:val="en-US"/>
        </w:rPr>
        <w:t>Local information on classification, prescription conditions, reimbursement, as applicable.</w:t>
      </w:r>
    </w:p>
    <w:p w14:paraId="37ACE046" w14:textId="3A7AABC4" w:rsidR="00FF576E" w:rsidRPr="00F91664" w:rsidRDefault="00FF576E" w:rsidP="00A04859">
      <w:pPr>
        <w:jc w:val="both"/>
        <w:rPr>
          <w:i/>
          <w:color w:val="0000CC"/>
          <w:sz w:val="20"/>
          <w:szCs w:val="20"/>
          <w:lang w:val="en-US"/>
        </w:rPr>
      </w:pPr>
    </w:p>
    <w:p w14:paraId="61BA222F" w14:textId="7C521A7A" w:rsidR="00FF576E" w:rsidRPr="00F91664" w:rsidRDefault="00FF576E" w:rsidP="00A04859">
      <w:pPr>
        <w:jc w:val="both"/>
        <w:rPr>
          <w:i/>
          <w:color w:val="0000CC"/>
          <w:sz w:val="20"/>
          <w:szCs w:val="20"/>
          <w:lang w:val="en-US"/>
        </w:rPr>
      </w:pPr>
    </w:p>
    <w:p w14:paraId="6D8B3A1F" w14:textId="1ACDAD78" w:rsidR="00FF576E" w:rsidRPr="00F91664" w:rsidRDefault="00FF576E" w:rsidP="00A04859">
      <w:pPr>
        <w:jc w:val="both"/>
        <w:rPr>
          <w:i/>
          <w:color w:val="0000CC"/>
          <w:sz w:val="20"/>
          <w:szCs w:val="20"/>
          <w:lang w:val="en-US"/>
        </w:rPr>
      </w:pPr>
      <w:r w:rsidRPr="004518F8">
        <w:rPr>
          <w:rFonts w:ascii="Arial" w:hAnsi="Arial" w:cs="Arial"/>
          <w:noProof/>
          <w:sz w:val="20"/>
          <w:szCs w:val="20"/>
          <w:lang w:val="en-US"/>
        </w:rPr>
        <mc:AlternateContent>
          <mc:Choice Requires="wps">
            <w:drawing>
              <wp:anchor distT="0" distB="0" distL="114300" distR="114300" simplePos="0" relativeHeight="251658240" behindDoc="0" locked="0" layoutInCell="1" allowOverlap="1" wp14:anchorId="2B5474EC" wp14:editId="181BD72A">
                <wp:simplePos x="0" y="0"/>
                <wp:positionH relativeFrom="margin">
                  <wp:posOffset>613410</wp:posOffset>
                </wp:positionH>
                <wp:positionV relativeFrom="paragraph">
                  <wp:posOffset>42545</wp:posOffset>
                </wp:positionV>
                <wp:extent cx="5759450" cy="438785"/>
                <wp:effectExtent l="0" t="0" r="12700" b="184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4387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C206678" w14:textId="77777777" w:rsidR="00A04859" w:rsidRPr="009772B4" w:rsidRDefault="00A04859" w:rsidP="006B020D">
                            <w:pPr>
                              <w:jc w:val="center"/>
                              <w:rPr>
                                <w:b/>
                                <w:color w:val="0000CC"/>
                                <w:sz w:val="16"/>
                                <w:szCs w:val="18"/>
                                <w:shd w:val="clear" w:color="auto" w:fill="FFFFFF"/>
                              </w:rPr>
                            </w:pPr>
                            <w:r>
                              <w:rPr>
                                <w:b/>
                                <w:color w:val="0000CC"/>
                                <w:sz w:val="16"/>
                                <w:szCs w:val="18"/>
                                <w:shd w:val="clear" w:color="auto" w:fill="FFFFFF"/>
                              </w:rPr>
                              <w:t>Adverse events must</w:t>
                            </w:r>
                            <w:r w:rsidRPr="009772B4">
                              <w:rPr>
                                <w:b/>
                                <w:color w:val="0000CC"/>
                                <w:sz w:val="16"/>
                                <w:szCs w:val="18"/>
                                <w:shd w:val="clear" w:color="auto" w:fill="FFFFFF"/>
                              </w:rPr>
                              <w:t xml:space="preserve"> be reported. Healthcare professionals are asked to report any suspected adverse reactions via the national reporting system listed in section 4.8 of the SmPC.</w:t>
                            </w:r>
                          </w:p>
                          <w:p w14:paraId="5207C5FC" w14:textId="77777777" w:rsidR="00A04859" w:rsidRPr="00F05876" w:rsidRDefault="00A04859" w:rsidP="006B020D">
                            <w:pPr>
                              <w:jc w:val="center"/>
                              <w:rPr>
                                <w:i/>
                                <w:color w:val="0000CC"/>
                                <w:sz w:val="16"/>
                                <w:szCs w:val="16"/>
                              </w:rPr>
                            </w:pPr>
                            <w:r w:rsidRPr="00F05876">
                              <w:rPr>
                                <w:i/>
                                <w:color w:val="0000CC"/>
                                <w:sz w:val="16"/>
                                <w:szCs w:val="16"/>
                              </w:rPr>
                              <w:t>Optional, as per local requirements: local HA contact details for AE reporting (Appendix V)</w:t>
                            </w:r>
                          </w:p>
                          <w:p w14:paraId="0F433DD3" w14:textId="77777777" w:rsidR="00A04859" w:rsidRDefault="00A04859" w:rsidP="006B020D">
                            <w:pPr>
                              <w:jc w:val="center"/>
                              <w:rPr>
                                <w:rFonts w:ascii="Arial" w:hAnsi="Arial" w:cs="Arial"/>
                                <w:b/>
                                <w:color w:val="222222"/>
                                <w:sz w:val="16"/>
                                <w:szCs w:val="18"/>
                                <w:shd w:val="clear" w:color="auto" w:fill="FFFFFF"/>
                              </w:rPr>
                            </w:pPr>
                          </w:p>
                          <w:p w14:paraId="21A782FF" w14:textId="77777777" w:rsidR="00A04859" w:rsidRPr="00EC68AB" w:rsidRDefault="00A04859" w:rsidP="006B020D">
                            <w:pPr>
                              <w:jc w:val="center"/>
                              <w:rPr>
                                <w:rFonts w:ascii="Arial" w:hAnsi="Arial" w:cs="Arial"/>
                                <w:b/>
                                <w:color w:val="222222"/>
                                <w:sz w:val="16"/>
                                <w:szCs w:val="18"/>
                                <w:shd w:val="clear" w:color="auto" w:fill="FFFFF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B5474EC" id="_x0000_t202" coordsize="21600,21600" o:spt="202" path="m,l,21600r21600,l21600,xe">
                <v:stroke joinstyle="miter"/>
                <v:path gradientshapeok="t" o:connecttype="rect"/>
              </v:shapetype>
              <v:shape id="Text Box 2" o:spid="_x0000_s1026" type="#_x0000_t202" style="position:absolute;left:0;text-align:left;margin-left:48.3pt;margin-top:3.35pt;width:453.5pt;height:34.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" fillcolor="white [3201]" strokeweight=".5pt">
                <v:path arrowok="t"/>
                <v:textbox>
                  <w:txbxContent>
                    <w:p w14:paraId="0C206678" w14:textId="77777777" w:rsidR="00A04859" w:rsidRPr="009772B4" w:rsidRDefault="00A04859" w:rsidP="006B020D">
                      <w:pPr>
                        <w:jc w:val="center"/>
                        <w:rPr>
                          <w:b/>
                          <w:color w:val="0000CC"/>
                          <w:sz w:val="16"/>
                          <w:szCs w:val="18"/>
                          <w:shd w:val="clear" w:color="auto" w:fill="FFFFFF"/>
                        </w:rPr>
                      </w:pPr>
                      <w:r>
                        <w:rPr>
                          <w:b/>
                          <w:color w:val="0000CC"/>
                          <w:sz w:val="16"/>
                          <w:szCs w:val="18"/>
                          <w:shd w:val="clear" w:color="auto" w:fill="FFFFFF"/>
                        </w:rPr>
                        <w:t>Adverse events must</w:t>
                      </w:r>
                      <w:r w:rsidRPr="009772B4">
                        <w:rPr>
                          <w:b/>
                          <w:color w:val="0000CC"/>
                          <w:sz w:val="16"/>
                          <w:szCs w:val="18"/>
                          <w:shd w:val="clear" w:color="auto" w:fill="FFFFFF"/>
                        </w:rPr>
                        <w:t xml:space="preserve"> be reported. Healthcare professionals are asked to report any suspected adverse reactions via the national reporting system listed in section 4.8 of the SmPC.</w:t>
                      </w:r>
                    </w:p>
                    <w:p w14:paraId="5207C5FC" w14:textId="77777777" w:rsidR="00A04859" w:rsidRPr="00F05876" w:rsidRDefault="00A04859" w:rsidP="006B020D">
                      <w:pPr>
                        <w:jc w:val="center"/>
                        <w:rPr>
                          <w:i/>
                          <w:color w:val="0000CC"/>
                          <w:sz w:val="16"/>
                          <w:szCs w:val="16"/>
                        </w:rPr>
                      </w:pPr>
                      <w:r w:rsidRPr="00F05876">
                        <w:rPr>
                          <w:i/>
                          <w:color w:val="0000CC"/>
                          <w:sz w:val="16"/>
                          <w:szCs w:val="16"/>
                        </w:rPr>
                        <w:t>Optional, as per local requirements: local HA contact details for AE reporting (Appendix V)</w:t>
                      </w:r>
                    </w:p>
                    <w:p w14:paraId="0F433DD3" w14:textId="77777777" w:rsidR="00A04859" w:rsidRDefault="00A04859" w:rsidP="006B020D">
                      <w:pPr>
                        <w:jc w:val="center"/>
                        <w:rPr>
                          <w:rFonts w:ascii="Arial" w:hAnsi="Arial" w:cs="Arial"/>
                          <w:b/>
                          <w:color w:val="222222"/>
                          <w:sz w:val="16"/>
                          <w:szCs w:val="18"/>
                          <w:shd w:val="clear" w:color="auto" w:fill="FFFFFF"/>
                        </w:rPr>
                      </w:pPr>
                    </w:p>
                    <w:p w14:paraId="21A782FF" w14:textId="77777777" w:rsidR="00A04859" w:rsidRPr="00EC68AB" w:rsidRDefault="00A04859" w:rsidP="006B020D">
                      <w:pPr>
                        <w:jc w:val="center"/>
                        <w:rPr>
                          <w:rFonts w:ascii="Arial" w:hAnsi="Arial" w:cs="Arial"/>
                          <w:b/>
                          <w:color w:val="222222"/>
                          <w:sz w:val="16"/>
                          <w:szCs w:val="18"/>
                          <w:shd w:val="clear" w:color="auto" w:fill="FFFFFF"/>
                        </w:rPr>
                      </w:pPr>
                    </w:p>
                  </w:txbxContent>
                </v:textbox>
                <w10:wrap anchorx="margin"/>
              </v:shape>
            </w:pict>
          </mc:Fallback>
        </mc:AlternateContent>
      </w:r>
    </w:p>
    <w:p w14:paraId="1D3A0F3E" w14:textId="57678E72" w:rsidR="00FF576E" w:rsidRPr="00F91664" w:rsidRDefault="00FF576E" w:rsidP="00A04859">
      <w:pPr>
        <w:jc w:val="both"/>
        <w:rPr>
          <w:i/>
          <w:color w:val="0000CC"/>
          <w:sz w:val="20"/>
          <w:szCs w:val="20"/>
          <w:lang w:val="en-US"/>
        </w:rPr>
      </w:pPr>
    </w:p>
    <w:p w14:paraId="3AD08BD9" w14:textId="6D91D4E7" w:rsidR="00FF576E" w:rsidRPr="00F91664" w:rsidRDefault="00FF576E" w:rsidP="00A04859">
      <w:pPr>
        <w:jc w:val="both"/>
        <w:rPr>
          <w:i/>
          <w:color w:val="0000CC"/>
          <w:sz w:val="20"/>
          <w:szCs w:val="20"/>
          <w:lang w:val="en-US"/>
        </w:rPr>
      </w:pPr>
    </w:p>
    <w:p w14:paraId="0EA1904A" w14:textId="67292FC9" w:rsidR="00FF576E" w:rsidRPr="00F91664" w:rsidRDefault="00FF576E" w:rsidP="00A04859">
      <w:pPr>
        <w:jc w:val="both"/>
        <w:rPr>
          <w:i/>
          <w:color w:val="0000CC"/>
          <w:sz w:val="20"/>
          <w:szCs w:val="20"/>
          <w:lang w:val="en-US"/>
        </w:rPr>
      </w:pPr>
    </w:p>
    <w:p w14:paraId="321B281C" w14:textId="56DE77D6" w:rsidR="00FF576E" w:rsidRPr="00F91664" w:rsidRDefault="00FF576E" w:rsidP="00A04859">
      <w:pPr>
        <w:jc w:val="both"/>
        <w:rPr>
          <w:i/>
          <w:color w:val="0000CC"/>
          <w:sz w:val="20"/>
          <w:szCs w:val="20"/>
          <w:lang w:val="en-US"/>
        </w:rPr>
      </w:pPr>
    </w:p>
    <w:p w14:paraId="2FA83964" w14:textId="63AE7357" w:rsidR="00FF576E" w:rsidRPr="00F91664" w:rsidRDefault="00FF576E" w:rsidP="00A04859">
      <w:pPr>
        <w:jc w:val="both"/>
        <w:rPr>
          <w:i/>
          <w:color w:val="0000CC"/>
          <w:sz w:val="20"/>
          <w:szCs w:val="20"/>
          <w:lang w:val="en-US"/>
        </w:rPr>
      </w:pPr>
    </w:p>
    <w:p w14:paraId="368BAB6B" w14:textId="273C0768" w:rsidR="00FF576E" w:rsidRPr="00F91664" w:rsidRDefault="00FF576E" w:rsidP="00A04859">
      <w:pPr>
        <w:jc w:val="both"/>
        <w:rPr>
          <w:i/>
          <w:color w:val="0000CC"/>
          <w:sz w:val="20"/>
          <w:szCs w:val="20"/>
          <w:lang w:val="en-US"/>
        </w:rPr>
      </w:pPr>
    </w:p>
    <w:p w14:paraId="44F4EAF6" w14:textId="02E6B277" w:rsidR="00FF576E" w:rsidRPr="00F91664" w:rsidRDefault="00FF576E" w:rsidP="00A04859">
      <w:pPr>
        <w:jc w:val="both"/>
        <w:rPr>
          <w:i/>
          <w:color w:val="0000CC"/>
          <w:sz w:val="20"/>
          <w:szCs w:val="20"/>
          <w:lang w:val="en-US"/>
        </w:rPr>
      </w:pPr>
    </w:p>
    <w:p w14:paraId="67594390" w14:textId="6681DE54" w:rsidR="00FF576E" w:rsidRPr="00F91664" w:rsidRDefault="00FF576E" w:rsidP="00A04859">
      <w:pPr>
        <w:jc w:val="both"/>
        <w:rPr>
          <w:i/>
          <w:color w:val="0000CC"/>
          <w:sz w:val="20"/>
          <w:szCs w:val="20"/>
          <w:lang w:val="en-US"/>
        </w:rPr>
      </w:pPr>
    </w:p>
    <w:p w14:paraId="1F3B2664" w14:textId="3B3C970E" w:rsidR="00FF576E" w:rsidRPr="00F91664" w:rsidRDefault="00FF576E" w:rsidP="00A04859">
      <w:pPr>
        <w:jc w:val="both"/>
        <w:rPr>
          <w:i/>
          <w:color w:val="0000CC"/>
          <w:sz w:val="20"/>
          <w:szCs w:val="20"/>
          <w:lang w:val="en-US"/>
        </w:rPr>
      </w:pPr>
    </w:p>
    <w:p w14:paraId="1E7BCDED" w14:textId="0E97CEC6" w:rsidR="00FF576E" w:rsidRPr="00F91664" w:rsidRDefault="00FF576E" w:rsidP="00A04859">
      <w:pPr>
        <w:jc w:val="both"/>
        <w:rPr>
          <w:i/>
          <w:color w:val="0000CC"/>
          <w:sz w:val="20"/>
          <w:szCs w:val="20"/>
          <w:lang w:val="en-US"/>
        </w:rPr>
      </w:pPr>
    </w:p>
    <w:p w14:paraId="70E434F4" w14:textId="7DD0693A" w:rsidR="00FF576E" w:rsidRPr="00F91664" w:rsidRDefault="00FF576E" w:rsidP="00A04859">
      <w:pPr>
        <w:jc w:val="both"/>
        <w:rPr>
          <w:i/>
          <w:color w:val="0000CC"/>
          <w:sz w:val="20"/>
          <w:szCs w:val="20"/>
          <w:lang w:val="en-US"/>
        </w:rPr>
      </w:pPr>
    </w:p>
    <w:p w14:paraId="3F61C830" w14:textId="2549A57E" w:rsidR="00FF576E" w:rsidRPr="00F91664" w:rsidRDefault="00FF576E" w:rsidP="00A04859">
      <w:pPr>
        <w:jc w:val="both"/>
        <w:rPr>
          <w:i/>
          <w:color w:val="0000CC"/>
          <w:sz w:val="20"/>
          <w:szCs w:val="20"/>
          <w:lang w:val="en-US"/>
        </w:rPr>
      </w:pPr>
    </w:p>
    <w:p w14:paraId="155E9444" w14:textId="686A9EBC" w:rsidR="00FF576E" w:rsidRPr="00F91664" w:rsidRDefault="00FF576E" w:rsidP="00A04859">
      <w:pPr>
        <w:jc w:val="both"/>
        <w:rPr>
          <w:i/>
          <w:color w:val="0000CC"/>
          <w:sz w:val="20"/>
          <w:szCs w:val="20"/>
          <w:lang w:val="en-US"/>
        </w:rPr>
      </w:pPr>
    </w:p>
    <w:p w14:paraId="5D588EAD" w14:textId="296670C5" w:rsidR="00FF576E" w:rsidRDefault="00FF576E" w:rsidP="00A04859">
      <w:pPr>
        <w:jc w:val="both"/>
        <w:rPr>
          <w:i/>
          <w:color w:val="0000CC"/>
          <w:sz w:val="20"/>
          <w:szCs w:val="20"/>
          <w:lang w:val="en-US"/>
        </w:rPr>
      </w:pPr>
    </w:p>
    <w:p w14:paraId="50029C6C" w14:textId="77777777" w:rsidR="004710CB" w:rsidRDefault="004710CB" w:rsidP="00A04859">
      <w:pPr>
        <w:jc w:val="both"/>
        <w:rPr>
          <w:i/>
          <w:color w:val="0000CC"/>
          <w:sz w:val="20"/>
          <w:szCs w:val="20"/>
          <w:lang w:val="en-US"/>
        </w:rPr>
      </w:pPr>
    </w:p>
    <w:p w14:paraId="689A5B05" w14:textId="77777777" w:rsidR="004710CB" w:rsidRDefault="004710CB" w:rsidP="00A04859">
      <w:pPr>
        <w:jc w:val="both"/>
        <w:rPr>
          <w:i/>
          <w:color w:val="0000CC"/>
          <w:sz w:val="20"/>
          <w:szCs w:val="20"/>
          <w:lang w:val="en-US"/>
        </w:rPr>
      </w:pPr>
    </w:p>
    <w:p w14:paraId="708BB6EC" w14:textId="77777777" w:rsidR="004710CB" w:rsidRDefault="004710CB" w:rsidP="00A04859">
      <w:pPr>
        <w:jc w:val="both"/>
        <w:rPr>
          <w:i/>
          <w:color w:val="0000CC"/>
          <w:sz w:val="20"/>
          <w:szCs w:val="20"/>
          <w:lang w:val="en-US"/>
        </w:rPr>
      </w:pPr>
    </w:p>
    <w:p w14:paraId="75F3FFB1" w14:textId="77777777" w:rsidR="004710CB" w:rsidRDefault="004710CB" w:rsidP="00A04859">
      <w:pPr>
        <w:jc w:val="both"/>
        <w:rPr>
          <w:i/>
          <w:color w:val="0000CC"/>
          <w:sz w:val="20"/>
          <w:szCs w:val="20"/>
          <w:lang w:val="en-US"/>
        </w:rPr>
      </w:pPr>
    </w:p>
    <w:p w14:paraId="54FFC529" w14:textId="77777777" w:rsidR="004710CB" w:rsidRDefault="004710CB" w:rsidP="00A04859">
      <w:pPr>
        <w:jc w:val="both"/>
        <w:rPr>
          <w:i/>
          <w:color w:val="0000CC"/>
          <w:sz w:val="20"/>
          <w:szCs w:val="20"/>
          <w:lang w:val="en-US"/>
        </w:rPr>
      </w:pPr>
    </w:p>
    <w:p w14:paraId="51F9EEF5" w14:textId="77777777" w:rsidR="004710CB" w:rsidRDefault="004710CB" w:rsidP="00A04859">
      <w:pPr>
        <w:jc w:val="both"/>
        <w:rPr>
          <w:i/>
          <w:color w:val="0000CC"/>
          <w:sz w:val="20"/>
          <w:szCs w:val="20"/>
          <w:lang w:val="en-US"/>
        </w:rPr>
      </w:pPr>
    </w:p>
    <w:p w14:paraId="49FF2F78" w14:textId="77777777" w:rsidR="004710CB" w:rsidRDefault="004710CB" w:rsidP="00A04859">
      <w:pPr>
        <w:jc w:val="both"/>
        <w:rPr>
          <w:i/>
          <w:color w:val="0000CC"/>
          <w:sz w:val="20"/>
          <w:szCs w:val="20"/>
          <w:lang w:val="en-US"/>
        </w:rPr>
      </w:pPr>
    </w:p>
    <w:p w14:paraId="1B3122A7" w14:textId="77777777" w:rsidR="004710CB" w:rsidRDefault="004710CB" w:rsidP="00A04859">
      <w:pPr>
        <w:jc w:val="both"/>
        <w:rPr>
          <w:i/>
          <w:color w:val="0000CC"/>
          <w:sz w:val="20"/>
          <w:szCs w:val="20"/>
          <w:lang w:val="en-US"/>
        </w:rPr>
      </w:pPr>
    </w:p>
    <w:p w14:paraId="0EAEE583" w14:textId="77777777" w:rsidR="004710CB" w:rsidRDefault="004710CB" w:rsidP="00A04859">
      <w:pPr>
        <w:jc w:val="both"/>
        <w:rPr>
          <w:i/>
          <w:color w:val="0000CC"/>
          <w:sz w:val="20"/>
          <w:szCs w:val="20"/>
          <w:lang w:val="en-US"/>
        </w:rPr>
      </w:pPr>
    </w:p>
    <w:p w14:paraId="477DE16E" w14:textId="77777777" w:rsidR="004710CB" w:rsidRDefault="004710CB" w:rsidP="00A04859">
      <w:pPr>
        <w:jc w:val="both"/>
        <w:rPr>
          <w:i/>
          <w:color w:val="0000CC"/>
          <w:sz w:val="20"/>
          <w:szCs w:val="20"/>
          <w:lang w:val="en-US"/>
        </w:rPr>
      </w:pPr>
    </w:p>
    <w:p w14:paraId="3DF9E471" w14:textId="77777777" w:rsidR="004710CB" w:rsidRDefault="004710CB" w:rsidP="00A04859">
      <w:pPr>
        <w:jc w:val="both"/>
        <w:rPr>
          <w:i/>
          <w:color w:val="0000CC"/>
          <w:sz w:val="20"/>
          <w:szCs w:val="20"/>
          <w:lang w:val="en-US"/>
        </w:rPr>
      </w:pPr>
    </w:p>
    <w:p w14:paraId="207B480F" w14:textId="77777777" w:rsidR="004710CB" w:rsidRDefault="004710CB" w:rsidP="00A04859">
      <w:pPr>
        <w:jc w:val="both"/>
        <w:rPr>
          <w:i/>
          <w:color w:val="0000CC"/>
          <w:sz w:val="20"/>
          <w:szCs w:val="20"/>
          <w:lang w:val="en-US"/>
        </w:rPr>
      </w:pPr>
    </w:p>
    <w:p w14:paraId="4F9DDEE9" w14:textId="77777777" w:rsidR="004710CB" w:rsidRPr="00F91664" w:rsidRDefault="004710CB" w:rsidP="00A04859">
      <w:pPr>
        <w:jc w:val="both"/>
        <w:rPr>
          <w:i/>
          <w:color w:val="0000CC"/>
          <w:sz w:val="20"/>
          <w:szCs w:val="20"/>
          <w:lang w:val="en-US"/>
        </w:rPr>
      </w:pPr>
    </w:p>
    <w:p w14:paraId="6AE306A5" w14:textId="2282E54C" w:rsidR="00FF576E" w:rsidRPr="00F91664" w:rsidRDefault="00FF576E" w:rsidP="00A04859">
      <w:pPr>
        <w:jc w:val="both"/>
        <w:rPr>
          <w:i/>
          <w:color w:val="0000CC"/>
          <w:sz w:val="20"/>
          <w:szCs w:val="20"/>
          <w:lang w:val="en-US"/>
        </w:rPr>
      </w:pPr>
    </w:p>
    <w:p w14:paraId="12A36A1B" w14:textId="222A4AF4" w:rsidR="00FF576E" w:rsidRPr="00F91664" w:rsidRDefault="00FF576E" w:rsidP="00A04859">
      <w:pPr>
        <w:jc w:val="both"/>
        <w:rPr>
          <w:i/>
          <w:color w:val="0000CC"/>
          <w:sz w:val="20"/>
          <w:szCs w:val="20"/>
          <w:lang w:val="en-US"/>
        </w:rPr>
      </w:pPr>
    </w:p>
    <w:p w14:paraId="4B8A2E82" w14:textId="0F271017" w:rsidR="00FF576E" w:rsidRPr="00F91664" w:rsidRDefault="00FF576E" w:rsidP="00A04859">
      <w:pPr>
        <w:jc w:val="both"/>
        <w:rPr>
          <w:i/>
          <w:color w:val="0000CC"/>
          <w:sz w:val="20"/>
          <w:szCs w:val="20"/>
          <w:lang w:val="en-US"/>
        </w:rPr>
      </w:pPr>
    </w:p>
    <w:p w14:paraId="68A0F42E" w14:textId="01C480E6" w:rsidR="00FF576E" w:rsidRPr="00F91664" w:rsidRDefault="00FF576E" w:rsidP="00A04859">
      <w:pPr>
        <w:jc w:val="both"/>
        <w:rPr>
          <w:i/>
          <w:color w:val="0000CC"/>
          <w:sz w:val="20"/>
          <w:szCs w:val="20"/>
          <w:lang w:val="en-US"/>
        </w:rPr>
      </w:pPr>
    </w:p>
    <w:p w14:paraId="6A91B884" w14:textId="73608C4D" w:rsidR="00FF576E" w:rsidRPr="00F91664" w:rsidRDefault="00FF576E" w:rsidP="00A04859">
      <w:pPr>
        <w:jc w:val="both"/>
        <w:rPr>
          <w:i/>
          <w:color w:val="0000CC"/>
          <w:sz w:val="20"/>
          <w:szCs w:val="20"/>
          <w:lang w:val="en-US"/>
        </w:rPr>
      </w:pPr>
    </w:p>
    <w:p w14:paraId="59F3497A" w14:textId="6556AF8D" w:rsidR="00FF576E" w:rsidRPr="00F91664" w:rsidRDefault="00FF576E" w:rsidP="00A04859">
      <w:pPr>
        <w:jc w:val="both"/>
        <w:rPr>
          <w:i/>
          <w:color w:val="0000CC"/>
          <w:sz w:val="20"/>
          <w:szCs w:val="20"/>
          <w:lang w:val="en-US"/>
        </w:rPr>
      </w:pPr>
    </w:p>
    <w:p w14:paraId="49999315" w14:textId="23AC64D2" w:rsidR="00FF576E" w:rsidRPr="00F91664" w:rsidRDefault="00FF576E" w:rsidP="00A04859">
      <w:pPr>
        <w:jc w:val="both"/>
        <w:rPr>
          <w:i/>
          <w:color w:val="0000CC"/>
          <w:sz w:val="20"/>
          <w:szCs w:val="20"/>
          <w:lang w:val="en-US"/>
        </w:rPr>
      </w:pPr>
    </w:p>
    <w:p w14:paraId="27A49E1D" w14:textId="71527F7F" w:rsidR="00FF576E" w:rsidRPr="00F91664" w:rsidRDefault="00FF576E" w:rsidP="00A04859">
      <w:pPr>
        <w:jc w:val="both"/>
        <w:rPr>
          <w:i/>
          <w:color w:val="0000CC"/>
          <w:sz w:val="20"/>
          <w:szCs w:val="20"/>
          <w:lang w:val="en-US"/>
        </w:rPr>
      </w:pPr>
    </w:p>
    <w:p w14:paraId="04F2177D" w14:textId="567BBCB3" w:rsidR="00FF576E" w:rsidRPr="00F91664" w:rsidRDefault="00FF576E" w:rsidP="00A04859">
      <w:pPr>
        <w:jc w:val="both"/>
        <w:rPr>
          <w:i/>
          <w:color w:val="0000CC"/>
          <w:sz w:val="20"/>
          <w:szCs w:val="20"/>
          <w:lang w:val="en-US"/>
        </w:rPr>
      </w:pPr>
    </w:p>
    <w:p w14:paraId="6402F1E5" w14:textId="6006DA59" w:rsidR="00FF576E" w:rsidRPr="00F91664" w:rsidRDefault="00FF576E" w:rsidP="00A04859">
      <w:pPr>
        <w:jc w:val="both"/>
        <w:rPr>
          <w:i/>
          <w:color w:val="0000CC"/>
          <w:sz w:val="20"/>
          <w:szCs w:val="20"/>
          <w:lang w:val="en-US"/>
        </w:rPr>
      </w:pPr>
    </w:p>
    <w:p w14:paraId="01F3615A" w14:textId="70EA6513" w:rsidR="00FF576E" w:rsidRPr="00F91664" w:rsidRDefault="00FF576E" w:rsidP="00A04859">
      <w:pPr>
        <w:jc w:val="both"/>
        <w:rPr>
          <w:i/>
          <w:color w:val="0000CC"/>
          <w:sz w:val="20"/>
          <w:szCs w:val="20"/>
          <w:lang w:val="en-US"/>
        </w:rPr>
      </w:pPr>
    </w:p>
    <w:p w14:paraId="496A0530" w14:textId="16D32300" w:rsidR="00FF576E" w:rsidRPr="00F91664" w:rsidRDefault="00FF576E" w:rsidP="00A04859">
      <w:pPr>
        <w:jc w:val="both"/>
        <w:rPr>
          <w:i/>
          <w:color w:val="0000CC"/>
          <w:sz w:val="20"/>
          <w:szCs w:val="20"/>
          <w:lang w:val="en-US"/>
        </w:rPr>
      </w:pPr>
    </w:p>
    <w:p w14:paraId="3CF27005" w14:textId="3BC0526C" w:rsidR="005C2182" w:rsidRPr="00F91664" w:rsidRDefault="005C2182" w:rsidP="00A04859">
      <w:pPr>
        <w:jc w:val="both"/>
        <w:rPr>
          <w:i/>
          <w:color w:val="0000CC"/>
          <w:sz w:val="20"/>
          <w:szCs w:val="20"/>
          <w:lang w:val="en-US"/>
        </w:rPr>
      </w:pPr>
    </w:p>
    <w:p w14:paraId="5C26D492" w14:textId="58B5CEFD" w:rsidR="005C2182" w:rsidRPr="00F91664" w:rsidRDefault="005C2182" w:rsidP="00A04859">
      <w:pPr>
        <w:jc w:val="both"/>
        <w:rPr>
          <w:i/>
          <w:color w:val="0000CC"/>
          <w:sz w:val="20"/>
          <w:szCs w:val="20"/>
          <w:lang w:val="en-US"/>
        </w:rPr>
      </w:pPr>
    </w:p>
    <w:p w14:paraId="51D2939B" w14:textId="77777777" w:rsidR="005C2182" w:rsidRPr="00F91664" w:rsidRDefault="005C2182" w:rsidP="00A04859">
      <w:pPr>
        <w:jc w:val="both"/>
        <w:rPr>
          <w:i/>
          <w:color w:val="0000CC"/>
          <w:sz w:val="20"/>
          <w:szCs w:val="20"/>
          <w:lang w:val="en-US"/>
        </w:rPr>
      </w:pPr>
    </w:p>
    <w:p w14:paraId="3DDA36D3" w14:textId="77777777" w:rsidR="00A04859" w:rsidRPr="00FF576E" w:rsidRDefault="00A04859" w:rsidP="00A04859">
      <w:pPr>
        <w:pStyle w:val="Heading1"/>
        <w:rPr>
          <w:sz w:val="20"/>
          <w:szCs w:val="20"/>
          <w:lang w:val="en-US"/>
        </w:rPr>
      </w:pPr>
      <w:r w:rsidRPr="00FF576E">
        <w:rPr>
          <w:sz w:val="20"/>
          <w:szCs w:val="20"/>
          <w:lang w:val="en-US"/>
        </w:rPr>
        <w:t>Date of first authorisation / renewal of the authorisation</w:t>
      </w:r>
    </w:p>
    <w:p w14:paraId="77760CBF" w14:textId="090EC61E" w:rsidR="00A04859" w:rsidRPr="005C2182" w:rsidRDefault="005C2182" w:rsidP="00A04859">
      <w:pPr>
        <w:jc w:val="both"/>
        <w:rPr>
          <w:bCs/>
          <w:iCs/>
          <w:sz w:val="20"/>
          <w:szCs w:val="20"/>
        </w:rPr>
      </w:pPr>
      <w:r w:rsidRPr="005C2182">
        <w:rPr>
          <w:bCs/>
          <w:iCs/>
          <w:sz w:val="20"/>
          <w:szCs w:val="20"/>
        </w:rPr>
        <w:t>29 April 2022</w:t>
      </w:r>
    </w:p>
    <w:p w14:paraId="06D40243" w14:textId="77777777" w:rsidR="00A04859" w:rsidRPr="004518F8" w:rsidRDefault="00A04859" w:rsidP="00A04859">
      <w:pPr>
        <w:jc w:val="both"/>
        <w:rPr>
          <w:b/>
          <w:bCs/>
          <w:color w:val="0000CC"/>
          <w:sz w:val="20"/>
          <w:szCs w:val="20"/>
        </w:rPr>
      </w:pPr>
    </w:p>
    <w:p w14:paraId="0E677605" w14:textId="55198DAE" w:rsidR="00A04859" w:rsidRPr="004518F8" w:rsidRDefault="00A04859" w:rsidP="00A04859">
      <w:pPr>
        <w:pStyle w:val="Heading1"/>
        <w:rPr>
          <w:sz w:val="20"/>
          <w:szCs w:val="20"/>
        </w:rPr>
      </w:pPr>
      <w:r w:rsidRPr="004518F8">
        <w:rPr>
          <w:sz w:val="20"/>
          <w:szCs w:val="20"/>
        </w:rPr>
        <w:t>Dat</w:t>
      </w:r>
      <w:r w:rsidR="00D42510">
        <w:rPr>
          <w:sz w:val="20"/>
          <w:szCs w:val="20"/>
        </w:rPr>
        <w:t>e</w:t>
      </w:r>
      <w:r w:rsidRPr="004518F8">
        <w:rPr>
          <w:sz w:val="20"/>
          <w:szCs w:val="20"/>
        </w:rPr>
        <w:t xml:space="preserve"> of last revision of prescribing information</w:t>
      </w:r>
    </w:p>
    <w:p w14:paraId="31E955D1" w14:textId="342693F3" w:rsidR="00A04859" w:rsidRDefault="00A060FE" w:rsidP="00A04859">
      <w:pPr>
        <w:jc w:val="both"/>
        <w:rPr>
          <w:bCs/>
          <w:iCs/>
          <w:sz w:val="20"/>
          <w:szCs w:val="20"/>
        </w:rPr>
      </w:pPr>
      <w:r>
        <w:rPr>
          <w:bCs/>
          <w:iCs/>
          <w:sz w:val="20"/>
          <w:szCs w:val="20"/>
        </w:rPr>
        <w:t>0</w:t>
      </w:r>
      <w:r w:rsidR="009879D8">
        <w:rPr>
          <w:bCs/>
          <w:iCs/>
          <w:sz w:val="20"/>
          <w:szCs w:val="20"/>
        </w:rPr>
        <w:t>9</w:t>
      </w:r>
      <w:r>
        <w:rPr>
          <w:bCs/>
          <w:iCs/>
          <w:sz w:val="20"/>
          <w:szCs w:val="20"/>
        </w:rPr>
        <w:t>/2024</w:t>
      </w:r>
    </w:p>
    <w:p w14:paraId="22A3A677" w14:textId="77777777" w:rsidR="005C2182" w:rsidRPr="004518F8" w:rsidRDefault="005C2182" w:rsidP="00A04859">
      <w:pPr>
        <w:jc w:val="both"/>
        <w:rPr>
          <w:b/>
          <w:bCs/>
          <w:sz w:val="20"/>
          <w:szCs w:val="20"/>
          <w:lang w:val="en-US"/>
        </w:rPr>
      </w:pPr>
    </w:p>
    <w:p w14:paraId="5F8E0678" w14:textId="69FB79C8" w:rsidR="00A04859" w:rsidRPr="004518F8" w:rsidRDefault="00A04859" w:rsidP="00A04859">
      <w:pPr>
        <w:pStyle w:val="Heading1"/>
        <w:rPr>
          <w:sz w:val="20"/>
          <w:szCs w:val="20"/>
        </w:rPr>
      </w:pPr>
      <w:r w:rsidRPr="004518F8">
        <w:rPr>
          <w:sz w:val="20"/>
          <w:szCs w:val="20"/>
        </w:rPr>
        <w:t xml:space="preserve">Full prescribing information available from </w:t>
      </w:r>
      <w:hyperlink r:id="rId12" w:tgtFrame="_blank" w:tooltip="https://www.idorsia.com/documents/com/label/quviviq-smpc.pdf" w:history="1">
        <w:r w:rsidR="00407D6E" w:rsidRPr="00407D6E">
          <w:rPr>
            <w:b w:val="0"/>
            <w:bCs w:val="0"/>
            <w:color w:val="0000FF"/>
            <w:sz w:val="20"/>
            <w:szCs w:val="20"/>
            <w:u w:val="single"/>
          </w:rPr>
          <w:t>https://www.idorsia.com/documents/com/label/quviviq-smpc.pdf</w:t>
        </w:r>
      </w:hyperlink>
    </w:p>
    <w:p w14:paraId="11F8E5DD" w14:textId="67AB17FC" w:rsidR="002B71B1" w:rsidRPr="004518F8" w:rsidRDefault="00A04859" w:rsidP="00A04859">
      <w:pPr>
        <w:jc w:val="both"/>
        <w:rPr>
          <w:sz w:val="20"/>
          <w:szCs w:val="20"/>
        </w:rPr>
      </w:pPr>
      <w:r w:rsidRPr="004518F8">
        <w:rPr>
          <w:sz w:val="20"/>
          <w:szCs w:val="20"/>
        </w:rPr>
        <w:t>For any additional information please contact the local representative.</w:t>
      </w:r>
    </w:p>
    <w:p w14:paraId="23607BE3" w14:textId="1DD54BE7" w:rsidR="00D9311F" w:rsidRPr="004518F8" w:rsidRDefault="00D9311F" w:rsidP="005747AF">
      <w:pPr>
        <w:jc w:val="both"/>
        <w:rPr>
          <w:rFonts w:ascii="Ubuntu Light" w:hAnsi="Ubuntu Light"/>
          <w:sz w:val="20"/>
          <w:szCs w:val="20"/>
        </w:rPr>
      </w:pPr>
    </w:p>
    <w:sectPr w:rsidR="00D9311F" w:rsidRPr="004518F8" w:rsidSect="001F12D9">
      <w:headerReference w:type="even" r:id="rId13"/>
      <w:headerReference w:type="default" r:id="rId14"/>
      <w:footerReference w:type="even" r:id="rId15"/>
      <w:footerReference w:type="default" r:id="rId16"/>
      <w:headerReference w:type="first" r:id="rId17"/>
      <w:footerReference w:type="first" r:id="rId18"/>
      <w:pgSz w:w="12240" w:h="15840"/>
      <w:pgMar w:top="851" w:right="851" w:bottom="851" w:left="851"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7F8133" w14:textId="77777777" w:rsidR="00DB149A" w:rsidRDefault="00DB149A" w:rsidP="00D94A56">
      <w:r>
        <w:separator/>
      </w:r>
    </w:p>
  </w:endnote>
  <w:endnote w:type="continuationSeparator" w:id="0">
    <w:p w14:paraId="5FBC7544" w14:textId="77777777" w:rsidR="00DB149A" w:rsidRDefault="00DB149A" w:rsidP="00D94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Ubuntu Light">
    <w:altName w:val="Calibri"/>
    <w:panose1 w:val="020B0304030602030204"/>
    <w:charset w:val="00"/>
    <w:family w:val="swiss"/>
    <w:pitch w:val="variable"/>
    <w:sig w:usb0="E00002FF" w:usb1="5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Ubuntu">
    <w:altName w:val="Calibri"/>
    <w:panose1 w:val="020B0504030602030204"/>
    <w:charset w:val="00"/>
    <w:family w:val="swiss"/>
    <w:pitch w:val="variable"/>
    <w:sig w:usb0="E00002FF" w:usb1="5000205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7DEF02" w14:textId="77777777" w:rsidR="00A04859" w:rsidRDefault="00A048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Ubuntu Light" w:hAnsi="Ubuntu Light"/>
      </w:rPr>
      <w:id w:val="950365377"/>
      <w:docPartObj>
        <w:docPartGallery w:val="Page Numbers (Bottom of Page)"/>
        <w:docPartUnique/>
      </w:docPartObj>
    </w:sdtPr>
    <w:sdtContent>
      <w:sdt>
        <w:sdtPr>
          <w:rPr>
            <w:rFonts w:ascii="Ubuntu Light" w:hAnsi="Ubuntu Light"/>
          </w:rPr>
          <w:id w:val="-1769616900"/>
          <w:docPartObj>
            <w:docPartGallery w:val="Page Numbers (Top of Page)"/>
            <w:docPartUnique/>
          </w:docPartObj>
        </w:sdtPr>
        <w:sdtContent>
          <w:p w14:paraId="21DDE33B" w14:textId="6ADF8735" w:rsidR="00C7798F" w:rsidRPr="003417CE" w:rsidRDefault="00C7798F">
            <w:pPr>
              <w:pStyle w:val="Footer"/>
              <w:jc w:val="right"/>
              <w:rPr>
                <w:rFonts w:ascii="Ubuntu Light" w:hAnsi="Ubuntu Light"/>
              </w:rPr>
            </w:pPr>
            <w:r w:rsidRPr="003417CE">
              <w:rPr>
                <w:rFonts w:ascii="Ubuntu Light" w:hAnsi="Ubuntu Light"/>
              </w:rPr>
              <w:t xml:space="preserve">Page </w:t>
            </w:r>
            <w:r w:rsidRPr="003417CE">
              <w:rPr>
                <w:rFonts w:ascii="Ubuntu Light" w:hAnsi="Ubuntu Light"/>
                <w:b/>
                <w:bCs/>
                <w:sz w:val="24"/>
                <w:szCs w:val="24"/>
              </w:rPr>
              <w:fldChar w:fldCharType="begin"/>
            </w:r>
            <w:r w:rsidRPr="003417CE">
              <w:rPr>
                <w:rFonts w:ascii="Ubuntu Light" w:hAnsi="Ubuntu Light"/>
                <w:b/>
                <w:bCs/>
              </w:rPr>
              <w:instrText xml:space="preserve"> PAGE </w:instrText>
            </w:r>
            <w:r w:rsidRPr="003417CE">
              <w:rPr>
                <w:rFonts w:ascii="Ubuntu Light" w:hAnsi="Ubuntu Light"/>
                <w:b/>
                <w:bCs/>
                <w:sz w:val="24"/>
                <w:szCs w:val="24"/>
              </w:rPr>
              <w:fldChar w:fldCharType="separate"/>
            </w:r>
            <w:r w:rsidRPr="003417CE">
              <w:rPr>
                <w:rFonts w:ascii="Ubuntu Light" w:hAnsi="Ubuntu Light"/>
                <w:b/>
                <w:bCs/>
                <w:noProof/>
              </w:rPr>
              <w:t>2</w:t>
            </w:r>
            <w:r w:rsidRPr="003417CE">
              <w:rPr>
                <w:rFonts w:ascii="Ubuntu Light" w:hAnsi="Ubuntu Light"/>
                <w:b/>
                <w:bCs/>
                <w:sz w:val="24"/>
                <w:szCs w:val="24"/>
              </w:rPr>
              <w:fldChar w:fldCharType="end"/>
            </w:r>
            <w:r w:rsidRPr="003417CE">
              <w:rPr>
                <w:rFonts w:ascii="Ubuntu Light" w:hAnsi="Ubuntu Light"/>
              </w:rPr>
              <w:t xml:space="preserve"> of </w:t>
            </w:r>
            <w:r w:rsidRPr="003417CE">
              <w:rPr>
                <w:rFonts w:ascii="Ubuntu Light" w:hAnsi="Ubuntu Light"/>
                <w:b/>
                <w:bCs/>
                <w:sz w:val="24"/>
                <w:szCs w:val="24"/>
              </w:rPr>
              <w:fldChar w:fldCharType="begin"/>
            </w:r>
            <w:r w:rsidRPr="003417CE">
              <w:rPr>
                <w:rFonts w:ascii="Ubuntu Light" w:hAnsi="Ubuntu Light"/>
                <w:b/>
                <w:bCs/>
              </w:rPr>
              <w:instrText xml:space="preserve"> NUMPAGES  </w:instrText>
            </w:r>
            <w:r w:rsidRPr="003417CE">
              <w:rPr>
                <w:rFonts w:ascii="Ubuntu Light" w:hAnsi="Ubuntu Light"/>
                <w:b/>
                <w:bCs/>
                <w:sz w:val="24"/>
                <w:szCs w:val="24"/>
              </w:rPr>
              <w:fldChar w:fldCharType="separate"/>
            </w:r>
            <w:r w:rsidRPr="003417CE">
              <w:rPr>
                <w:rFonts w:ascii="Ubuntu Light" w:hAnsi="Ubuntu Light"/>
                <w:b/>
                <w:bCs/>
                <w:noProof/>
              </w:rPr>
              <w:t>2</w:t>
            </w:r>
            <w:r w:rsidRPr="003417CE">
              <w:rPr>
                <w:rFonts w:ascii="Ubuntu Light" w:hAnsi="Ubuntu Light"/>
                <w:b/>
                <w:bCs/>
                <w:sz w:val="24"/>
                <w:szCs w:val="24"/>
              </w:rPr>
              <w:fldChar w:fldCharType="end"/>
            </w:r>
          </w:p>
        </w:sdtContent>
      </w:sdt>
    </w:sdtContent>
  </w:sdt>
  <w:p w14:paraId="3E2CF9A0" w14:textId="733ED0D2" w:rsidR="00D37C5F" w:rsidRPr="00C7798F" w:rsidRDefault="00000000" w:rsidP="00C7798F">
    <w:pPr>
      <w:pStyle w:val="Footer"/>
      <w:rPr>
        <w:rFonts w:ascii="Ubuntu Light" w:hAnsi="Ubuntu Light"/>
      </w:rPr>
    </w:pPr>
    <w:sdt>
      <w:sdtPr>
        <w:rPr>
          <w:rFonts w:ascii="Ubuntu Light" w:hAnsi="Ubuntu Light"/>
        </w:rPr>
        <w:id w:val="-1705238520"/>
        <w:docPartObj>
          <w:docPartGallery w:val="Page Numbers (Top of Page)"/>
          <w:docPartUnique/>
        </w:docPartObj>
      </w:sdtPr>
      <w:sdtContent>
        <w:r w:rsidR="00C7798F" w:rsidRPr="00B139D9">
          <w:rPr>
            <w:rFonts w:ascii="Ubuntu Light" w:hAnsi="Ubuntu Light"/>
            <w:b/>
            <w:bCs/>
            <w:sz w:val="24"/>
            <w:szCs w:val="24"/>
          </w:rPr>
          <w:tab/>
        </w:r>
        <w:sdt>
          <w:sdtPr>
            <w:rPr>
              <w:rStyle w:val="IntenseEmphasis"/>
              <w:rFonts w:ascii="Ubuntu Light" w:hAnsi="Ubuntu Light"/>
              <w:bCs/>
              <w:color w:val="0093DD"/>
              <w:sz w:val="20"/>
              <w:szCs w:val="20"/>
            </w:rPr>
            <w:id w:val="733358747"/>
            <w:placeholder>
              <w:docPart w:val="7E776ABBE40D4315BDB08CC79F086266"/>
            </w:placeholder>
          </w:sdtPr>
          <w:sdtEndPr>
            <w:rPr>
              <w:rStyle w:val="IntenseEmphasis"/>
              <w:bCs w:val="0"/>
            </w:rPr>
          </w:sdtEndPr>
          <w:sdtContent>
            <w:r w:rsidR="00EB6415">
              <w:rPr>
                <w:rFonts w:ascii="Ubuntu Light" w:hAnsi="Ubuntu Light" w:cs="Arial"/>
                <w:bCs/>
                <w:sz w:val="20"/>
                <w:szCs w:val="20"/>
              </w:rPr>
              <w:fldChar w:fldCharType="begin"/>
            </w:r>
            <w:r w:rsidR="00EB6415">
              <w:rPr>
                <w:rFonts w:ascii="Ubuntu Light" w:hAnsi="Ubuntu Light" w:cs="Arial"/>
                <w:bCs/>
                <w:sz w:val="20"/>
                <w:szCs w:val="20"/>
              </w:rPr>
              <w:instrText xml:space="preserve"> DOCVARIABLE vault:document_number__v \* MERGEFORMAT </w:instrText>
            </w:r>
            <w:r w:rsidR="00EB6415">
              <w:rPr>
                <w:rFonts w:ascii="Ubuntu Light" w:hAnsi="Ubuntu Light" w:cs="Arial"/>
                <w:bCs/>
                <w:sz w:val="20"/>
                <w:szCs w:val="20"/>
              </w:rPr>
              <w:fldChar w:fldCharType="separate"/>
            </w:r>
            <w:r w:rsidR="00D504B8">
              <w:rPr>
                <w:rFonts w:ascii="Ubuntu Light" w:hAnsi="Ubuntu Light" w:cs="Arial"/>
                <w:bCs/>
                <w:sz w:val="20"/>
                <w:szCs w:val="20"/>
              </w:rPr>
              <w:t>VV-QUAL-01028</w:t>
            </w:r>
            <w:r w:rsidR="00EB6415">
              <w:rPr>
                <w:rFonts w:ascii="Ubuntu Light" w:hAnsi="Ubuntu Light" w:cs="Arial"/>
                <w:bCs/>
                <w:sz w:val="20"/>
                <w:szCs w:val="20"/>
              </w:rPr>
              <w:fldChar w:fldCharType="end"/>
            </w:r>
          </w:sdtContent>
        </w:sdt>
        <w:r w:rsidR="00C7798F" w:rsidRPr="00B139D9">
          <w:rPr>
            <w:rStyle w:val="IntenseEmphasis"/>
            <w:rFonts w:ascii="Ubuntu Light" w:hAnsi="Ubuntu Light"/>
            <w:color w:val="0093DD"/>
            <w:sz w:val="20"/>
            <w:szCs w:val="20"/>
          </w:rPr>
          <w:t xml:space="preserve"> </w:t>
        </w:r>
        <w:r w:rsidR="00C7798F">
          <w:rPr>
            <w:rStyle w:val="IntenseEmphasis"/>
            <w:rFonts w:ascii="Ubuntu Light" w:hAnsi="Ubuntu Light"/>
            <w:color w:val="0093DD"/>
            <w:sz w:val="20"/>
            <w:szCs w:val="20"/>
          </w:rPr>
          <w:t xml:space="preserve">   </w:t>
        </w:r>
        <w:r w:rsidR="00C7798F" w:rsidRPr="00AE6A05">
          <w:rPr>
            <w:rStyle w:val="IntenseEmphasis"/>
            <w:rFonts w:ascii="Ubuntu Light" w:hAnsi="Ubuntu Light"/>
            <w:b w:val="0"/>
            <w:bCs/>
            <w:color w:val="auto"/>
            <w:sz w:val="20"/>
            <w:szCs w:val="20"/>
          </w:rPr>
          <w:t>v</w:t>
        </w:r>
        <w:r w:rsidR="00EB6415">
          <w:rPr>
            <w:rFonts w:ascii="Ubuntu Light" w:hAnsi="Ubuntu Light" w:cs="Arial"/>
            <w:sz w:val="20"/>
            <w:szCs w:val="20"/>
          </w:rPr>
          <w:fldChar w:fldCharType="begin"/>
        </w:r>
        <w:r w:rsidR="00EB6415">
          <w:rPr>
            <w:rFonts w:ascii="Ubuntu Light" w:hAnsi="Ubuntu Light" w:cs="Arial"/>
            <w:sz w:val="20"/>
            <w:szCs w:val="20"/>
          </w:rPr>
          <w:instrText xml:space="preserve"> DOCVARIABLE vault:major_version_number__v \* MERGEFORMAT </w:instrText>
        </w:r>
        <w:r w:rsidR="00EB6415">
          <w:rPr>
            <w:rFonts w:ascii="Ubuntu Light" w:hAnsi="Ubuntu Light" w:cs="Arial"/>
            <w:sz w:val="20"/>
            <w:szCs w:val="20"/>
          </w:rPr>
          <w:fldChar w:fldCharType="separate"/>
        </w:r>
        <w:r w:rsidR="00D504B8">
          <w:rPr>
            <w:rFonts w:ascii="Ubuntu Light" w:hAnsi="Ubuntu Light" w:cs="Arial"/>
            <w:sz w:val="20"/>
            <w:szCs w:val="20"/>
          </w:rPr>
          <w:t>1</w:t>
        </w:r>
        <w:r w:rsidR="00EB6415">
          <w:rPr>
            <w:rFonts w:ascii="Ubuntu Light" w:hAnsi="Ubuntu Light" w:cs="Arial"/>
            <w:sz w:val="20"/>
            <w:szCs w:val="20"/>
          </w:rPr>
          <w:fldChar w:fldCharType="end"/>
        </w:r>
        <w:r w:rsidR="00C7798F" w:rsidRPr="00B139D9">
          <w:rPr>
            <w:rFonts w:ascii="Ubuntu Light" w:hAnsi="Ubuntu Light" w:cs="Arial"/>
            <w:sz w:val="20"/>
            <w:szCs w:val="20"/>
          </w:rPr>
          <w:t>.</w:t>
        </w:r>
        <w:r w:rsidR="00EB6415">
          <w:rPr>
            <w:rFonts w:ascii="Ubuntu Light" w:hAnsi="Ubuntu Light" w:cs="Arial"/>
            <w:sz w:val="20"/>
            <w:szCs w:val="20"/>
          </w:rPr>
          <w:fldChar w:fldCharType="begin"/>
        </w:r>
        <w:r w:rsidR="00EB6415">
          <w:rPr>
            <w:rFonts w:ascii="Ubuntu Light" w:hAnsi="Ubuntu Light" w:cs="Arial"/>
            <w:sz w:val="20"/>
            <w:szCs w:val="20"/>
          </w:rPr>
          <w:instrText xml:space="preserve"> DOCVARIABLE vault:minor_version_number__v \* MERGEFORMAT </w:instrText>
        </w:r>
        <w:r w:rsidR="00EB6415">
          <w:rPr>
            <w:rFonts w:ascii="Ubuntu Light" w:hAnsi="Ubuntu Light" w:cs="Arial"/>
            <w:sz w:val="20"/>
            <w:szCs w:val="20"/>
          </w:rPr>
          <w:fldChar w:fldCharType="separate"/>
        </w:r>
        <w:r w:rsidR="00D504B8">
          <w:rPr>
            <w:rFonts w:ascii="Ubuntu Light" w:hAnsi="Ubuntu Light" w:cs="Arial"/>
            <w:sz w:val="20"/>
            <w:szCs w:val="20"/>
          </w:rPr>
          <w:t>0</w:t>
        </w:r>
        <w:r w:rsidR="00EB6415">
          <w:rPr>
            <w:rFonts w:ascii="Ubuntu Light" w:hAnsi="Ubuntu Light" w:cs="Arial"/>
            <w:sz w:val="20"/>
            <w:szCs w:val="20"/>
          </w:rPr>
          <w:fldChar w:fldCharType="end"/>
        </w:r>
      </w:sdtContent>
    </w:sdt>
    <w:r w:rsidR="00755EF2">
      <w:rPr>
        <w:rFonts w:ascii="Ubuntu Light" w:hAnsi="Ubuntu Light"/>
      </w:rPr>
      <w:t xml:space="preserve">  </w:t>
    </w:r>
    <w:r w:rsidR="00EB6415">
      <w:rPr>
        <w:rFonts w:asciiTheme="majorHAnsi" w:hAnsiTheme="majorHAnsi" w:cs="Arial"/>
        <w:szCs w:val="20"/>
      </w:rPr>
      <w:fldChar w:fldCharType="begin"/>
    </w:r>
    <w:r w:rsidR="00EB6415">
      <w:rPr>
        <w:rFonts w:asciiTheme="majorHAnsi" w:hAnsiTheme="majorHAnsi" w:cs="Arial"/>
        <w:szCs w:val="20"/>
      </w:rPr>
      <w:instrText xml:space="preserve"> DOCVARIABLE vault:status__v \* MERGEFORMAT </w:instrText>
    </w:r>
    <w:r w:rsidR="00EB6415">
      <w:rPr>
        <w:rFonts w:asciiTheme="majorHAnsi" w:hAnsiTheme="majorHAnsi" w:cs="Arial"/>
        <w:szCs w:val="20"/>
      </w:rPr>
      <w:fldChar w:fldCharType="separate"/>
    </w:r>
    <w:r w:rsidR="00D504B8">
      <w:rPr>
        <w:rFonts w:asciiTheme="majorHAnsi" w:hAnsiTheme="majorHAnsi" w:cs="Arial"/>
        <w:szCs w:val="20"/>
      </w:rPr>
      <w:t>Effective</w:t>
    </w:r>
    <w:r w:rsidR="00EB6415">
      <w:rPr>
        <w:rFonts w:asciiTheme="majorHAnsi" w:hAnsiTheme="majorHAnsi" w:cs="Arial"/>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C2CCC2" w14:textId="77777777" w:rsidR="00A04859" w:rsidRDefault="00A048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226F95" w14:textId="77777777" w:rsidR="00DB149A" w:rsidRDefault="00DB149A" w:rsidP="00D94A56">
      <w:r>
        <w:separator/>
      </w:r>
    </w:p>
  </w:footnote>
  <w:footnote w:type="continuationSeparator" w:id="0">
    <w:p w14:paraId="2805B9E6" w14:textId="77777777" w:rsidR="00DB149A" w:rsidRDefault="00DB149A" w:rsidP="00D94A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122B98" w14:textId="77777777" w:rsidR="00A04859" w:rsidRDefault="00A048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13E71" w14:textId="77777777" w:rsidR="00A04859" w:rsidRDefault="00A048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653B66" w14:textId="77777777" w:rsidR="00A04859" w:rsidRDefault="00A048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87D50"/>
    <w:multiLevelType w:val="hybridMultilevel"/>
    <w:tmpl w:val="0F7680C4"/>
    <w:lvl w:ilvl="0" w:tplc="E3D874EE">
      <w:start w:val="1"/>
      <w:numFmt w:val="bullet"/>
      <w:lvlText w:val="•"/>
      <w:lvlJc w:val="left"/>
      <w:pPr>
        <w:ind w:left="360" w:hanging="360"/>
      </w:pPr>
      <w:rPr>
        <w:rFonts w:ascii="Ubuntu Light" w:hAnsi="Ubuntu Light" w:hint="default"/>
        <w:color w:val="000000"/>
        <w:sz w:val="20"/>
      </w:rPr>
    </w:lvl>
    <w:lvl w:ilvl="1" w:tplc="898A0514" w:tentative="1">
      <w:start w:val="1"/>
      <w:numFmt w:val="bullet"/>
      <w:lvlText w:val="o"/>
      <w:lvlJc w:val="left"/>
      <w:pPr>
        <w:ind w:left="1080" w:hanging="360"/>
      </w:pPr>
      <w:rPr>
        <w:rFonts w:ascii="Courier New" w:hAnsi="Courier New" w:cs="Courier New" w:hint="default"/>
      </w:rPr>
    </w:lvl>
    <w:lvl w:ilvl="2" w:tplc="199CC8D8" w:tentative="1">
      <w:start w:val="1"/>
      <w:numFmt w:val="bullet"/>
      <w:lvlText w:val=""/>
      <w:lvlJc w:val="left"/>
      <w:pPr>
        <w:ind w:left="1800" w:hanging="360"/>
      </w:pPr>
      <w:rPr>
        <w:rFonts w:ascii="Wingdings" w:hAnsi="Wingdings" w:hint="default"/>
      </w:rPr>
    </w:lvl>
    <w:lvl w:ilvl="3" w:tplc="AC5E3C06" w:tentative="1">
      <w:start w:val="1"/>
      <w:numFmt w:val="bullet"/>
      <w:lvlText w:val=""/>
      <w:lvlJc w:val="left"/>
      <w:pPr>
        <w:ind w:left="2520" w:hanging="360"/>
      </w:pPr>
      <w:rPr>
        <w:rFonts w:ascii="Symbol" w:hAnsi="Symbol" w:hint="default"/>
      </w:rPr>
    </w:lvl>
    <w:lvl w:ilvl="4" w:tplc="1A9A0EFE" w:tentative="1">
      <w:start w:val="1"/>
      <w:numFmt w:val="bullet"/>
      <w:lvlText w:val="o"/>
      <w:lvlJc w:val="left"/>
      <w:pPr>
        <w:ind w:left="3240" w:hanging="360"/>
      </w:pPr>
      <w:rPr>
        <w:rFonts w:ascii="Courier New" w:hAnsi="Courier New" w:cs="Courier New" w:hint="default"/>
      </w:rPr>
    </w:lvl>
    <w:lvl w:ilvl="5" w:tplc="9E6E6D2E" w:tentative="1">
      <w:start w:val="1"/>
      <w:numFmt w:val="bullet"/>
      <w:lvlText w:val=""/>
      <w:lvlJc w:val="left"/>
      <w:pPr>
        <w:ind w:left="3960" w:hanging="360"/>
      </w:pPr>
      <w:rPr>
        <w:rFonts w:ascii="Wingdings" w:hAnsi="Wingdings" w:hint="default"/>
      </w:rPr>
    </w:lvl>
    <w:lvl w:ilvl="6" w:tplc="1FCC5ECE" w:tentative="1">
      <w:start w:val="1"/>
      <w:numFmt w:val="bullet"/>
      <w:lvlText w:val=""/>
      <w:lvlJc w:val="left"/>
      <w:pPr>
        <w:ind w:left="4680" w:hanging="360"/>
      </w:pPr>
      <w:rPr>
        <w:rFonts w:ascii="Symbol" w:hAnsi="Symbol" w:hint="default"/>
      </w:rPr>
    </w:lvl>
    <w:lvl w:ilvl="7" w:tplc="7666838A" w:tentative="1">
      <w:start w:val="1"/>
      <w:numFmt w:val="bullet"/>
      <w:lvlText w:val="o"/>
      <w:lvlJc w:val="left"/>
      <w:pPr>
        <w:ind w:left="5400" w:hanging="360"/>
      </w:pPr>
      <w:rPr>
        <w:rFonts w:ascii="Courier New" w:hAnsi="Courier New" w:cs="Courier New" w:hint="default"/>
      </w:rPr>
    </w:lvl>
    <w:lvl w:ilvl="8" w:tplc="B0DC54FE" w:tentative="1">
      <w:start w:val="1"/>
      <w:numFmt w:val="bullet"/>
      <w:lvlText w:val=""/>
      <w:lvlJc w:val="left"/>
      <w:pPr>
        <w:ind w:left="6120" w:hanging="360"/>
      </w:pPr>
      <w:rPr>
        <w:rFonts w:ascii="Wingdings" w:hAnsi="Wingdings" w:hint="default"/>
      </w:rPr>
    </w:lvl>
  </w:abstractNum>
  <w:abstractNum w:abstractNumId="1" w15:restartNumberingAfterBreak="0">
    <w:nsid w:val="586724A3"/>
    <w:multiLevelType w:val="hybridMultilevel"/>
    <w:tmpl w:val="DDD61A50"/>
    <w:lvl w:ilvl="0" w:tplc="6A6E9EA6">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89001230">
    <w:abstractNumId w:val="0"/>
  </w:num>
  <w:num w:numId="2" w16cid:durableId="3294093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ult:document_number__v" w:val="VV-QUAL-01028"/>
    <w:docVar w:name="vault:major_version_number__v" w:val="1"/>
    <w:docVar w:name="vault:minor_version_number__v" w:val="0"/>
    <w:docVar w:name="vault:status__v" w:val="Effective"/>
  </w:docVars>
  <w:rsids>
    <w:rsidRoot w:val="00D94A56"/>
    <w:rsid w:val="0000447F"/>
    <w:rsid w:val="00052E15"/>
    <w:rsid w:val="00084A34"/>
    <w:rsid w:val="00094D34"/>
    <w:rsid w:val="00110094"/>
    <w:rsid w:val="001476D7"/>
    <w:rsid w:val="00147760"/>
    <w:rsid w:val="001833C7"/>
    <w:rsid w:val="001A0ABB"/>
    <w:rsid w:val="001B35FC"/>
    <w:rsid w:val="001D58E3"/>
    <w:rsid w:val="001F12D9"/>
    <w:rsid w:val="00201BA3"/>
    <w:rsid w:val="00270AC3"/>
    <w:rsid w:val="00276435"/>
    <w:rsid w:val="002B71B1"/>
    <w:rsid w:val="002C122D"/>
    <w:rsid w:val="003031E2"/>
    <w:rsid w:val="0031429C"/>
    <w:rsid w:val="0031446F"/>
    <w:rsid w:val="003417CE"/>
    <w:rsid w:val="0035322A"/>
    <w:rsid w:val="003B4841"/>
    <w:rsid w:val="003F6149"/>
    <w:rsid w:val="00403ADF"/>
    <w:rsid w:val="00407D6E"/>
    <w:rsid w:val="00445C6A"/>
    <w:rsid w:val="0044669A"/>
    <w:rsid w:val="004518F8"/>
    <w:rsid w:val="004710CB"/>
    <w:rsid w:val="00496F1E"/>
    <w:rsid w:val="004D2E48"/>
    <w:rsid w:val="004E6DB9"/>
    <w:rsid w:val="004E74DA"/>
    <w:rsid w:val="00513081"/>
    <w:rsid w:val="00536645"/>
    <w:rsid w:val="005747AF"/>
    <w:rsid w:val="005A63D0"/>
    <w:rsid w:val="005B7A61"/>
    <w:rsid w:val="005C2182"/>
    <w:rsid w:val="005C72AD"/>
    <w:rsid w:val="005D0DDA"/>
    <w:rsid w:val="006B020D"/>
    <w:rsid w:val="006D2B8E"/>
    <w:rsid w:val="006E23FF"/>
    <w:rsid w:val="00702E12"/>
    <w:rsid w:val="007343B5"/>
    <w:rsid w:val="00741327"/>
    <w:rsid w:val="0075192C"/>
    <w:rsid w:val="00755EF2"/>
    <w:rsid w:val="00791E78"/>
    <w:rsid w:val="007A1204"/>
    <w:rsid w:val="007D7858"/>
    <w:rsid w:val="00807D9F"/>
    <w:rsid w:val="008107DC"/>
    <w:rsid w:val="0081267A"/>
    <w:rsid w:val="008176F1"/>
    <w:rsid w:val="00834570"/>
    <w:rsid w:val="00871D5A"/>
    <w:rsid w:val="00885D37"/>
    <w:rsid w:val="008B7A90"/>
    <w:rsid w:val="008D0DDF"/>
    <w:rsid w:val="008D15A3"/>
    <w:rsid w:val="008F1425"/>
    <w:rsid w:val="0090675C"/>
    <w:rsid w:val="00914D74"/>
    <w:rsid w:val="00924DEF"/>
    <w:rsid w:val="00956EBB"/>
    <w:rsid w:val="00970638"/>
    <w:rsid w:val="00984A84"/>
    <w:rsid w:val="00986E2B"/>
    <w:rsid w:val="009879D8"/>
    <w:rsid w:val="009B3046"/>
    <w:rsid w:val="009D2E6B"/>
    <w:rsid w:val="009F7E97"/>
    <w:rsid w:val="00A04859"/>
    <w:rsid w:val="00A060FE"/>
    <w:rsid w:val="00A365AF"/>
    <w:rsid w:val="00A47573"/>
    <w:rsid w:val="00A93E5B"/>
    <w:rsid w:val="00AA3565"/>
    <w:rsid w:val="00AB158F"/>
    <w:rsid w:val="00AE6A05"/>
    <w:rsid w:val="00AF212F"/>
    <w:rsid w:val="00AF6EF3"/>
    <w:rsid w:val="00B0296D"/>
    <w:rsid w:val="00B139D9"/>
    <w:rsid w:val="00B3262A"/>
    <w:rsid w:val="00B372DC"/>
    <w:rsid w:val="00B37EDC"/>
    <w:rsid w:val="00B42275"/>
    <w:rsid w:val="00B67F17"/>
    <w:rsid w:val="00BA6F38"/>
    <w:rsid w:val="00BB22F4"/>
    <w:rsid w:val="00BC1326"/>
    <w:rsid w:val="00BD2A42"/>
    <w:rsid w:val="00BF4368"/>
    <w:rsid w:val="00C12321"/>
    <w:rsid w:val="00C2166B"/>
    <w:rsid w:val="00C27F92"/>
    <w:rsid w:val="00C30336"/>
    <w:rsid w:val="00C517A3"/>
    <w:rsid w:val="00C5312C"/>
    <w:rsid w:val="00C657A9"/>
    <w:rsid w:val="00C7798F"/>
    <w:rsid w:val="00C804D3"/>
    <w:rsid w:val="00C8658E"/>
    <w:rsid w:val="00C94928"/>
    <w:rsid w:val="00CA0114"/>
    <w:rsid w:val="00CA53F8"/>
    <w:rsid w:val="00CC3BFB"/>
    <w:rsid w:val="00D37C5F"/>
    <w:rsid w:val="00D42510"/>
    <w:rsid w:val="00D504B8"/>
    <w:rsid w:val="00D60A22"/>
    <w:rsid w:val="00D723D4"/>
    <w:rsid w:val="00D830AB"/>
    <w:rsid w:val="00D9311F"/>
    <w:rsid w:val="00D94A56"/>
    <w:rsid w:val="00DB149A"/>
    <w:rsid w:val="00DB53EA"/>
    <w:rsid w:val="00E159EC"/>
    <w:rsid w:val="00E97977"/>
    <w:rsid w:val="00EA062C"/>
    <w:rsid w:val="00EB2DC5"/>
    <w:rsid w:val="00EB6415"/>
    <w:rsid w:val="00EB7C77"/>
    <w:rsid w:val="00F162EC"/>
    <w:rsid w:val="00F17D9C"/>
    <w:rsid w:val="00F35ADB"/>
    <w:rsid w:val="00F4397F"/>
    <w:rsid w:val="00F50208"/>
    <w:rsid w:val="00F61B2E"/>
    <w:rsid w:val="00F62724"/>
    <w:rsid w:val="00F91664"/>
    <w:rsid w:val="00F95725"/>
    <w:rsid w:val="00FE06A4"/>
    <w:rsid w:val="00FE7957"/>
    <w:rsid w:val="00FF576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AEEF22"/>
  <w15:chartTrackingRefBased/>
  <w15:docId w15:val="{B7726903-E2B1-4320-89FF-200CE6763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19"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859"/>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A04859"/>
    <w:pPr>
      <w:keepNext/>
      <w:outlineLvl w:val="0"/>
    </w:pPr>
    <w:rPr>
      <w:b/>
      <w:bCs/>
      <w:sz w:val="22"/>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4A56"/>
    <w:pPr>
      <w:tabs>
        <w:tab w:val="center" w:pos="4680"/>
        <w:tab w:val="right" w:pos="9360"/>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D94A56"/>
  </w:style>
  <w:style w:type="paragraph" w:styleId="Footer">
    <w:name w:val="footer"/>
    <w:basedOn w:val="Normal"/>
    <w:link w:val="FooterChar"/>
    <w:uiPriority w:val="99"/>
    <w:unhideWhenUsed/>
    <w:rsid w:val="00D94A56"/>
    <w:pPr>
      <w:tabs>
        <w:tab w:val="center" w:pos="4680"/>
        <w:tab w:val="right" w:pos="9360"/>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D94A56"/>
  </w:style>
  <w:style w:type="character" w:styleId="IntenseEmphasis">
    <w:name w:val="Intense Emphasis"/>
    <w:basedOn w:val="DefaultParagraphFont"/>
    <w:uiPriority w:val="19"/>
    <w:qFormat/>
    <w:rsid w:val="00D94A56"/>
    <w:rPr>
      <w:rFonts w:ascii="Ubuntu" w:hAnsi="Ubuntu"/>
      <w:b/>
      <w:i w:val="0"/>
      <w:iCs/>
      <w:color w:val="FF3300"/>
    </w:rPr>
  </w:style>
  <w:style w:type="character" w:styleId="PageNumber">
    <w:name w:val="page number"/>
    <w:basedOn w:val="DefaultParagraphFont"/>
    <w:semiHidden/>
    <w:unhideWhenUsed/>
    <w:rsid w:val="00D94A56"/>
  </w:style>
  <w:style w:type="character" w:customStyle="1" w:styleId="Heading1Char">
    <w:name w:val="Heading 1 Char"/>
    <w:basedOn w:val="DefaultParagraphFont"/>
    <w:link w:val="Heading1"/>
    <w:rsid w:val="00A04859"/>
    <w:rPr>
      <w:rFonts w:ascii="Times New Roman" w:eastAsia="Times New Roman" w:hAnsi="Times New Roman" w:cs="Times New Roman"/>
      <w:b/>
      <w:bCs/>
      <w:szCs w:val="16"/>
      <w:lang w:val="en-GB"/>
    </w:rPr>
  </w:style>
  <w:style w:type="paragraph" w:styleId="EndnoteText">
    <w:name w:val="endnote text"/>
    <w:basedOn w:val="Normal"/>
    <w:link w:val="EndnoteTextChar"/>
    <w:rsid w:val="00A04859"/>
    <w:pPr>
      <w:tabs>
        <w:tab w:val="left" w:pos="567"/>
      </w:tabs>
    </w:pPr>
    <w:rPr>
      <w:sz w:val="22"/>
      <w:szCs w:val="20"/>
      <w:lang w:val="es-ES_tradnl"/>
    </w:rPr>
  </w:style>
  <w:style w:type="character" w:customStyle="1" w:styleId="EndnoteTextChar">
    <w:name w:val="Endnote Text Char"/>
    <w:basedOn w:val="DefaultParagraphFont"/>
    <w:link w:val="EndnoteText"/>
    <w:rsid w:val="00A04859"/>
    <w:rPr>
      <w:rFonts w:ascii="Times New Roman" w:eastAsia="Times New Roman" w:hAnsi="Times New Roman" w:cs="Times New Roman"/>
      <w:szCs w:val="20"/>
      <w:lang w:val="es-ES_tradnl"/>
    </w:rPr>
  </w:style>
  <w:style w:type="paragraph" w:styleId="ListParagraph">
    <w:name w:val="List Paragraph"/>
    <w:basedOn w:val="Normal"/>
    <w:uiPriority w:val="34"/>
    <w:qFormat/>
    <w:rsid w:val="00CA0114"/>
    <w:pPr>
      <w:ind w:left="720"/>
      <w:contextualSpacing/>
    </w:pPr>
  </w:style>
  <w:style w:type="character" w:styleId="Hyperlink">
    <w:name w:val="Hyperlink"/>
    <w:basedOn w:val="DefaultParagraphFont"/>
    <w:uiPriority w:val="99"/>
    <w:semiHidden/>
    <w:unhideWhenUsed/>
    <w:rsid w:val="00407D6E"/>
    <w:rPr>
      <w:color w:val="0000FF"/>
      <w:u w:val="single"/>
    </w:rPr>
  </w:style>
  <w:style w:type="paragraph" w:styleId="Revision">
    <w:name w:val="Revision"/>
    <w:hidden/>
    <w:uiPriority w:val="99"/>
    <w:semiHidden/>
    <w:rsid w:val="00F50208"/>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idorsia.com/documents/com/label/quviviq-smpc.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E776ABBE40D4315BDB08CC79F086266"/>
        <w:category>
          <w:name w:val="General"/>
          <w:gallery w:val="placeholder"/>
        </w:category>
        <w:types>
          <w:type w:val="bbPlcHdr"/>
        </w:types>
        <w:behaviors>
          <w:behavior w:val="content"/>
        </w:behaviors>
        <w:guid w:val="{9E40E384-63BF-415F-9B4B-0622A342221E}"/>
      </w:docPartPr>
      <w:docPartBody>
        <w:p w:rsidR="00842273" w:rsidRDefault="00477DEB" w:rsidP="00477DEB">
          <w:pPr>
            <w:pStyle w:val="7E776ABBE40D4315BDB08CC79F086266"/>
          </w:pPr>
          <w:r w:rsidRPr="001C08B3">
            <w:rPr>
              <w:rStyle w:val="IntenseEmphasis"/>
            </w:rPr>
            <w:t>Cover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Ubuntu Light">
    <w:altName w:val="Calibri"/>
    <w:panose1 w:val="020B0304030602030204"/>
    <w:charset w:val="00"/>
    <w:family w:val="swiss"/>
    <w:pitch w:val="variable"/>
    <w:sig w:usb0="E00002FF" w:usb1="5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Ubuntu">
    <w:altName w:val="Calibri"/>
    <w:panose1 w:val="020B0504030602030204"/>
    <w:charset w:val="00"/>
    <w:family w:val="swiss"/>
    <w:pitch w:val="variable"/>
    <w:sig w:usb0="E00002FF" w:usb1="5000205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C00"/>
    <w:rsid w:val="00016547"/>
    <w:rsid w:val="00030888"/>
    <w:rsid w:val="000C4EF7"/>
    <w:rsid w:val="001A1367"/>
    <w:rsid w:val="00477DEB"/>
    <w:rsid w:val="00842273"/>
    <w:rsid w:val="008451AC"/>
    <w:rsid w:val="008F21F0"/>
    <w:rsid w:val="00944C00"/>
    <w:rsid w:val="00A82F6D"/>
    <w:rsid w:val="00B731D3"/>
    <w:rsid w:val="00BA7C26"/>
    <w:rsid w:val="00BB22F4"/>
    <w:rsid w:val="00C118BB"/>
    <w:rsid w:val="00C60131"/>
    <w:rsid w:val="00EE4231"/>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19"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19"/>
    <w:qFormat/>
    <w:rsid w:val="00477DEB"/>
    <w:rPr>
      <w:rFonts w:ascii="Ubuntu" w:hAnsi="Ubuntu"/>
      <w:b/>
      <w:i w:val="0"/>
      <w:iCs/>
      <w:color w:val="FF3300"/>
    </w:rPr>
  </w:style>
  <w:style w:type="paragraph" w:customStyle="1" w:styleId="7E776ABBE40D4315BDB08CC79F086266">
    <w:name w:val="7E776ABBE40D4315BDB08CC79F086266"/>
    <w:rsid w:val="00477D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1 6 " ? > < v : V e e v a   x m l n s : v = " v e e v a " >  
     < v : D o c I d > 6 3 6 1 5 < / v : D o c I d >  
     < v : M a j o r > 1 < / v : M a j o r >  
     < v : M i n o r > 0 < / v : M i n o r >  
     < v : T o k e n I d M a p p i n g s >  
         < v : T o k e n I d M a p p i n g >  
             < v : T o k e n > < ! [ C D A T A [ d o c u m e n t _ n u m b e r _ _ v ] ] > < / v : T o k e n >  
             < v : I d > < ! [ C D A T A [ d o c u m e n t _ n u m b e r _ _ v ] ] > < / v : I d >  
             < v : F e a t u r e s / >  
         < / v : T o k e n I d M a p p i n g >  
         < v : T o k e n I d M a p p i n g >  
             < v : T o k e n > < ! [ C D A T A [ m a j o r _ v e r s i o n _ n u m b e r _ _ v ] ] > < / v : T o k e n >  
             < v : I d > < ! [ C D A T A [ m a j o r _ v e r s i o n _ n u m b e r _ _ v ] ] > < / v : I d >  
             < v : F e a t u r e s / >  
         < / v : T o k e n I d M a p p i n g >  
         < v : T o k e n I d M a p p i n g >  
             < v : T o k e n > < ! [ C D A T A [ m i n o r _ v e r s i o n _ n u m b e r _ _ v ] ] > < / v : T o k e n >  
             < v : I d > < ! [ C D A T A [ m i n o r _ v e r s i o n _ n u m b e r _ _ v ] ] > < / v : I d >  
             < v : F e a t u r e s / >  
         < / v : T o k e n I d M a p p i n g >  
         < v : T o k e n I d M a p p i n g >  
             < v : T o k e n > < ! [ C D A T A [ s t a t u s _ _ v ] ] > < / v : T o k e n >  
             < v : I d > < ! [ C D A T A [ s t a t u s _ _ v ] ] > < / v : I d >  
             < v : F e a t u r e s / >  
         < / v : T o k e n I d M a p p i n g >  
     < / v : T o k e n I d M a p p i n g s >  
 < / v : V e e v a > 
</file>

<file path=customXml/item3.xml><?xml version="1.0" encoding="utf-8"?>
<p:properties xmlns:p="http://schemas.microsoft.com/office/2006/metadata/properties" xmlns:xsi="http://www.w3.org/2001/XMLSchema-instance" xmlns:pc="http://schemas.microsoft.com/office/infopath/2007/PartnerControls">
  <documentManagement>
    <SharedWithUsers xmlns="1bdd0a2e-e9ba-42f4-9d8e-d0e34e651cca">
      <UserInfo>
        <DisplayName/>
        <AccountId xsi:nil="true"/>
        <AccountType/>
      </UserInfo>
    </SharedWithUsers>
    <lcf76f155ced4ddcb4097134ff3c332f xmlns="f97a0c7a-84da-4b78-98bd-65500be235e6">
      <Terms xmlns="http://schemas.microsoft.com/office/infopath/2007/PartnerControls"/>
    </lcf76f155ced4ddcb4097134ff3c332f>
    <TaxCatchAll xmlns="1bdd0a2e-e9ba-42f4-9d8e-d0e34e651cc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C7E85B7103B4B44BCF2A867B2399029" ma:contentTypeVersion="15" ma:contentTypeDescription="Create a new document." ma:contentTypeScope="" ma:versionID="f6c0a79abd7f84bf1d3f0f1c2d3cf2d7">
  <xsd:schema xmlns:xsd="http://www.w3.org/2001/XMLSchema" xmlns:xs="http://www.w3.org/2001/XMLSchema" xmlns:p="http://schemas.microsoft.com/office/2006/metadata/properties" xmlns:ns2="f97a0c7a-84da-4b78-98bd-65500be235e6" xmlns:ns3="1bdd0a2e-e9ba-42f4-9d8e-d0e34e651cca" targetNamespace="http://schemas.microsoft.com/office/2006/metadata/properties" ma:root="true" ma:fieldsID="7b60da1895d653495ed12aa4281cbdc0" ns2:_="" ns3:_="">
    <xsd:import namespace="f97a0c7a-84da-4b78-98bd-65500be235e6"/>
    <xsd:import namespace="1bdd0a2e-e9ba-42f4-9d8e-d0e34e651cc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a0c7a-84da-4b78-98bd-65500be235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639b06a-de23-4d5a-a010-3a972520727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dd0a2e-e9ba-42f4-9d8e-d0e34e651cc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313b1e8-7dd1-4a8a-989b-1c016808e7d9}" ma:internalName="TaxCatchAll" ma:showField="CatchAllData" ma:web="1bdd0a2e-e9ba-42f4-9d8e-d0e34e651cc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CE901A-1FA7-451E-8B78-EAF917165EA0}">
  <ds:schemaRefs>
    <ds:schemaRef ds:uri="http://schemas.microsoft.com/sharepoint/v3/contenttype/forms"/>
  </ds:schemaRefs>
</ds:datastoreItem>
</file>

<file path=customXml/itemProps2.xml><?xml version="1.0" encoding="utf-8"?>
<ds:datastoreItem xmlns:ds="http://schemas.openxmlformats.org/officeDocument/2006/customXml" ds:itemID="{538CF133-1926-4FCB-AFB9-1AC4EF518318}">
  <ds:schemaRefs>
    <ds:schemaRef ds:uri="veeva"/>
  </ds:schemaRefs>
</ds:datastoreItem>
</file>

<file path=customXml/itemProps3.xml><?xml version="1.0" encoding="utf-8"?>
<ds:datastoreItem xmlns:ds="http://schemas.openxmlformats.org/officeDocument/2006/customXml" ds:itemID="{F730E400-64DE-4765-910E-8F296643B3CF}">
  <ds:schemaRefs>
    <ds:schemaRef ds:uri="http://schemas.microsoft.com/office/2006/metadata/properties"/>
    <ds:schemaRef ds:uri="http://schemas.microsoft.com/office/infopath/2007/PartnerControls"/>
    <ds:schemaRef ds:uri="e51ab173-001f-47eb-9193-f8fde54b65df"/>
  </ds:schemaRefs>
</ds:datastoreItem>
</file>

<file path=customXml/itemProps4.xml><?xml version="1.0" encoding="utf-8"?>
<ds:datastoreItem xmlns:ds="http://schemas.openxmlformats.org/officeDocument/2006/customXml" ds:itemID="{5C5E4B51-5425-4D3E-A6E7-0A0CE58F8E61}"/>
</file>

<file path=docProps/app.xml><?xml version="1.0" encoding="utf-8"?>
<Properties xmlns="http://schemas.openxmlformats.org/officeDocument/2006/extended-properties" xmlns:vt="http://schemas.openxmlformats.org/officeDocument/2006/docPropsVTypes">
  <Template>Normal.dotm</Template>
  <TotalTime>0</TotalTime>
  <Pages>2</Pages>
  <Words>775</Words>
  <Characters>4419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Tailleur</dc:creator>
  <cp:keywords/>
  <dc:description/>
  <cp:lastModifiedBy>Idorsia</cp:lastModifiedBy>
  <cp:revision>5</cp:revision>
  <dcterms:created xsi:type="dcterms:W3CDTF">2024-04-12T06:47:00Z</dcterms:created>
  <dcterms:modified xsi:type="dcterms:W3CDTF">2024-09-27T09:36:00Z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0x0101004C7E85B7103B4B44BCF2A867B2399029</vt:lpwstr>
  </property>
  <property fmtid="{D5CDD505-2E9C-101B-9397-08002B2CF9AE}" pid="3" name="MediaServiceImageTags">
    <vt:lpwstr/>
  </property>
</Properties>
</file>